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72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21</w:t>
      </w:r>
      <w:r>
        <w:rPr>
          <w:rFonts w:hint="eastAsia" w:ascii="方正小标宋简体" w:hAnsi="方正小标宋简体" w:eastAsia="方正小标宋简体" w:cs="方正小标宋简体"/>
          <w:sz w:val="44"/>
          <w:szCs w:val="44"/>
        </w:rPr>
        <w:t>年广东省科技创新战略专项资金项目（“攀登计划”）校级遴选</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公开答辩晋级名单</w:t>
      </w:r>
    </w:p>
    <w:bookmarkEnd w:id="0"/>
    <w:p>
      <w:pPr>
        <w:spacing w:line="560" w:lineRule="exact"/>
        <w:jc w:val="center"/>
        <w:rPr>
          <w:rFonts w:ascii="仿宋_GB2312" w:eastAsia="仿宋_GB2312"/>
          <w:b/>
          <w:sz w:val="32"/>
          <w:szCs w:val="32"/>
        </w:rPr>
      </w:pPr>
      <w:r>
        <w:rPr>
          <w:rFonts w:hint="eastAsia" w:ascii="仿宋_GB2312" w:eastAsia="仿宋_GB2312"/>
          <w:b/>
          <w:sz w:val="32"/>
          <w:szCs w:val="32"/>
        </w:rPr>
        <w:t>（以下排名不分先后）</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15"/>
        <w:gridCol w:w="2600"/>
        <w:gridCol w:w="4772"/>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98" w:type="pct"/>
            <w:vAlign w:val="center"/>
          </w:tcPr>
          <w:p>
            <w:pPr>
              <w:spacing w:line="560" w:lineRule="exact"/>
              <w:jc w:val="center"/>
              <w:rPr>
                <w:rFonts w:ascii="仿宋_GB2312" w:eastAsia="仿宋_GB2312"/>
                <w:sz w:val="24"/>
                <w:szCs w:val="24"/>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640" w:type="pct"/>
            <w:vAlign w:val="center"/>
          </w:tcPr>
          <w:p>
            <w:pPr>
              <w:spacing w:line="560" w:lineRule="exact"/>
              <w:jc w:val="center"/>
              <w:rPr>
                <w:rFonts w:ascii="仿宋_GB2312" w:eastAsia="仿宋_GB2312"/>
                <w:sz w:val="24"/>
                <w:szCs w:val="24"/>
              </w:rPr>
            </w:pPr>
            <w:r>
              <w:rPr>
                <w:rFonts w:hint="eastAsia" w:ascii="仿宋_GB2312" w:hAnsi="仿宋_GB2312" w:eastAsia="仿宋_GB2312" w:cs="仿宋_GB2312"/>
                <w:b/>
                <w:bCs/>
                <w:color w:val="333333"/>
                <w:kern w:val="0"/>
                <w:sz w:val="24"/>
                <w:szCs w:val="24"/>
                <w:shd w:val="clear" w:color="auto" w:fill="FFFFFF"/>
              </w:rPr>
              <w:t>所属单位</w:t>
            </w:r>
          </w:p>
        </w:tc>
        <w:tc>
          <w:tcPr>
            <w:tcW w:w="917" w:type="pct"/>
            <w:vAlign w:val="center"/>
          </w:tcPr>
          <w:p>
            <w:pPr>
              <w:spacing w:line="560" w:lineRule="exact"/>
              <w:jc w:val="center"/>
              <w:rPr>
                <w:rFonts w:ascii="仿宋_GB2312" w:eastAsia="仿宋_GB2312"/>
                <w:sz w:val="24"/>
                <w:szCs w:val="24"/>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项目类别</w:t>
            </w:r>
          </w:p>
        </w:tc>
        <w:tc>
          <w:tcPr>
            <w:tcW w:w="1683" w:type="pct"/>
            <w:vAlign w:val="center"/>
          </w:tcPr>
          <w:p>
            <w:pPr>
              <w:spacing w:line="560" w:lineRule="exact"/>
              <w:jc w:val="center"/>
              <w:rPr>
                <w:rFonts w:ascii="仿宋_GB2312" w:eastAsia="仿宋_GB2312"/>
                <w:sz w:val="24"/>
                <w:szCs w:val="24"/>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项目名称</w:t>
            </w:r>
          </w:p>
        </w:tc>
        <w:tc>
          <w:tcPr>
            <w:tcW w:w="1461" w:type="pct"/>
            <w:vAlign w:val="center"/>
          </w:tcPr>
          <w:p>
            <w:pPr>
              <w:spacing w:line="560" w:lineRule="exact"/>
              <w:jc w:val="center"/>
              <w:rPr>
                <w:rFonts w:ascii="仿宋_GB2312" w:eastAsia="仿宋_GB2312"/>
                <w:sz w:val="24"/>
                <w:szCs w:val="24"/>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w:t>
            </w:r>
          </w:p>
        </w:tc>
        <w:tc>
          <w:tcPr>
            <w:tcW w:w="640"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英语语言文化学院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新冠肺炎时期中国博物馆的应对之策和观众感知</w:t>
            </w:r>
          </w:p>
        </w:tc>
        <w:tc>
          <w:tcPr>
            <w:tcW w:w="1461"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苏子君、吴剑璇、陈诗琪、罗晓彤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w:t>
            </w:r>
          </w:p>
        </w:tc>
        <w:tc>
          <w:tcPr>
            <w:tcW w:w="640" w:type="pct"/>
            <w:vMerge w:val="restart"/>
            <w:vAlign w:val="center"/>
          </w:tcPr>
          <w:p>
            <w:pPr>
              <w:spacing w:line="560" w:lineRule="exact"/>
              <w:jc w:val="center"/>
              <w:rPr>
                <w:rFonts w:ascii="仿宋_GB2312" w:eastAsia="仿宋_GB2312"/>
                <w:sz w:val="24"/>
                <w:szCs w:val="24"/>
              </w:rPr>
            </w:pPr>
            <w:r>
              <w:rPr>
                <w:rFonts w:hint="eastAsia" w:ascii="仿宋_GB2312" w:hAnsi="Calibri" w:eastAsia="仿宋_GB2312" w:cs="Times New Roman"/>
                <w:sz w:val="24"/>
                <w:szCs w:val="24"/>
              </w:rPr>
              <w:t>经济贸易学院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“中国制造2025”促进了制造业企业“脱虚向实”吗？</w:t>
            </w:r>
          </w:p>
        </w:tc>
        <w:tc>
          <w:tcPr>
            <w:tcW w:w="1461"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黄志霖、陈  越、梁炫炫、邓卓信、罗  颖、蔡孟君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w:t>
            </w:r>
          </w:p>
        </w:tc>
        <w:tc>
          <w:tcPr>
            <w:tcW w:w="640" w:type="pct"/>
            <w:vMerge w:val="continue"/>
            <w:vAlign w:val="center"/>
          </w:tcPr>
          <w:p>
            <w:pPr>
              <w:spacing w:line="560" w:lineRule="exact"/>
              <w:jc w:val="center"/>
              <w:rPr>
                <w:rFonts w:ascii="仿宋_GB2312" w:eastAsia="仿宋_GB2312"/>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双循环背景下服务贸易国际竞争力对劳动力需求结构的影响机制与政策建议——基于我国服务贸易和劳动力数据分析</w:t>
            </w:r>
          </w:p>
        </w:tc>
        <w:tc>
          <w:tcPr>
            <w:tcW w:w="1461"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马紫孟、朱  鑫、卢贞榉、蔡晓楠、邓  昊、李成霖、欧峰昊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w:t>
            </w:r>
          </w:p>
        </w:tc>
        <w:tc>
          <w:tcPr>
            <w:tcW w:w="640" w:type="pct"/>
            <w:vMerge w:val="continue"/>
            <w:vAlign w:val="center"/>
          </w:tcPr>
          <w:p>
            <w:pPr>
              <w:spacing w:line="560" w:lineRule="exact"/>
              <w:jc w:val="center"/>
              <w:rPr>
                <w:rFonts w:ascii="仿宋_GB2312" w:eastAsia="仿宋_GB2312"/>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城市群扩容能否提升城市间协同创新水平？——以长三角城市群为例的合成控制法分析</w:t>
            </w:r>
          </w:p>
        </w:tc>
        <w:tc>
          <w:tcPr>
            <w:tcW w:w="1461"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何志庆、林志文、侯柳彤、李嘉博、朱乐瑶、刘韫、贡宇川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5</w:t>
            </w:r>
          </w:p>
        </w:tc>
        <w:tc>
          <w:tcPr>
            <w:tcW w:w="640" w:type="pct"/>
            <w:vMerge w:val="continue"/>
            <w:vAlign w:val="center"/>
          </w:tcPr>
          <w:p>
            <w:pPr>
              <w:spacing w:line="560" w:lineRule="exact"/>
              <w:jc w:val="center"/>
              <w:rPr>
                <w:rFonts w:ascii="仿宋_GB2312" w:eastAsia="仿宋_GB2312"/>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什么影响了老人的养老意愿——基于广州市社会养老需求的实证研究</w:t>
            </w:r>
          </w:p>
        </w:tc>
        <w:tc>
          <w:tcPr>
            <w:tcW w:w="1461" w:type="pct"/>
            <w:vAlign w:val="center"/>
          </w:tcPr>
          <w:p>
            <w:pPr>
              <w:spacing w:line="560" w:lineRule="exact"/>
              <w:rPr>
                <w:rFonts w:ascii="仿宋_GB2312" w:eastAsia="仿宋_GB2312"/>
                <w:sz w:val="24"/>
                <w:szCs w:val="24"/>
              </w:rPr>
            </w:pPr>
            <w:r>
              <w:rPr>
                <w:rFonts w:hint="eastAsia" w:ascii="仿宋_GB2312" w:hAnsi="Calibri" w:eastAsia="仿宋_GB2312" w:cs="Times New Roman"/>
                <w:sz w:val="24"/>
                <w:szCs w:val="24"/>
              </w:rPr>
              <w:t>郭  锐、招颖怡、谢嘉丽、张明英、毛  珊、胡小睿、袁芷欣、方逸之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6</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“扶贫扶志扶智”：脱贫攻坚推动乡村振兴的广东经验——基于14个地市22个省定贫困村842位农户调研</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马紫孟、李承霖、沈晓楠、王灵灵、温碧儿、陈蔼伦、周至涵、童一舟、蔡东凝、廖志承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7</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广州服务业推动珠三角创新发展面临的问题与对策</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王昱凯、李卓尔、吴可可、郑子彬、梁露雯、蔡敏如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8</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农地经营规模对农业碳排放的影响——边际减排成本的中介及财政支农水平的调节</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卓  健、徐  楠、谭凯儿、吴  楠、王  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9</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粤港澳大湾区城市群建设在双循环中促进外资进入了吗？——基于双重差分析法的证据</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侯柳彤、黄</w:t>
            </w:r>
            <w:r>
              <w:rPr>
                <w:rFonts w:hint="eastAsia" w:ascii="仿宋" w:hAnsi="仿宋" w:eastAsia="仿宋" w:cs="微软雅黑"/>
                <w:sz w:val="24"/>
                <w:szCs w:val="24"/>
              </w:rPr>
              <w:t>嫚</w:t>
            </w:r>
            <w:r>
              <w:rPr>
                <w:rFonts w:hint="eastAsia" w:ascii="仿宋_GB2312" w:hAnsi="仿宋_GB2312" w:eastAsia="仿宋_GB2312" w:cs="仿宋_GB2312"/>
                <w:sz w:val="24"/>
                <w:szCs w:val="24"/>
              </w:rPr>
              <w:t>虹、胡浩洋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10</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国际商务英语学院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探究疫情背景下健康码的使用现状及未来发展建议</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卓小焱、潘淑君、古淑碧、郑兰馨、蔡梦洁、何雅颖、许颖思、周静宜、罗韵琦、陈  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11</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“一带一路”沿线国家的基础设施建设和创新绩效：影响机制和实证检验</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朱超玮、姚韵彤、陈  越、黄志霖、沈晓楠、吴泽婷、罗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12</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以旧焕新 守正出奇——广州上下九骑楼街的文化保护与发展研究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张雪欣、朱明艳、莫巧莉、朱安淇、郑楚珊、谢可欣、赖怡欣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13</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乡村振兴背景下化州橘红产业的现状、问题及对策研究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何柳玲、王惠锋、凌  鑫、王君呈、刘付格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14</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广东省区域发展不平衡的空间分布和动态演变—基于DEA-Malmquist指数法和核密度函数的动态实证分析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沈泳嘉、朱超玮、刘俊轩、张  艳、莫家惠、姚韵彤、沈晓楠、董佩仪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15</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商学院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直播带货情境下消费者购买农产品意愿影响因素研究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伍仪婷、王  莹、黄芷欣、潘家祺、谢  飘、胡越芊、邹曙鸿、李婉菁、江佳瑜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16</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开放促升级：自贸区设立对产业结构优化升级政策效应——基于PSM-DID方法的实证分析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赖世海、李国雄、陈贤志、李春霏、黄咏欣、谢 </w:t>
            </w:r>
            <w:r>
              <w:rPr>
                <w:rFonts w:ascii="仿宋_GB2312" w:hAnsi="Calibri" w:eastAsia="仿宋_GB2312" w:cs="Times New Roman"/>
                <w:sz w:val="24"/>
                <w:szCs w:val="24"/>
              </w:rPr>
              <w:t xml:space="preserve"> </w:t>
            </w:r>
            <w:r>
              <w:rPr>
                <w:rFonts w:hint="eastAsia" w:ascii="仿宋_GB2312" w:hAnsi="Calibri" w:eastAsia="仿宋_GB2312" w:cs="Times New Roman"/>
                <w:sz w:val="24"/>
                <w:szCs w:val="24"/>
              </w:rPr>
              <w:t>蕊、许  晴、田世远、凌杨湄、马  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17</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中国省份创新能力提升了出口韧性吗？——基于中国31个省市的面板数据分析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黄  禧、钱  </w:t>
            </w:r>
            <w:r>
              <w:rPr>
                <w:rFonts w:hint="eastAsia" w:ascii="仿宋" w:hAnsi="仿宋" w:eastAsia="仿宋" w:cs="微软雅黑"/>
                <w:sz w:val="24"/>
                <w:szCs w:val="24"/>
              </w:rPr>
              <w:t>祎</w:t>
            </w:r>
            <w:r>
              <w:rPr>
                <w:rFonts w:hint="eastAsia" w:ascii="仿宋_GB2312" w:hAnsi="仿宋_GB2312" w:eastAsia="仿宋_GB2312" w:cs="仿宋_GB2312"/>
                <w:sz w:val="24"/>
                <w:szCs w:val="24"/>
              </w:rPr>
              <w:t>、陈泽燕、黄心仪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18</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土地资源配置扭曲对碳排放效率的影响效应及机制分析——基于中国255个地级市数据的实证分析</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黄  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19</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新冠疫情重灾区多种应急医疗物资配置效率评估——以中国武汉市为例</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曾  玲、罗惠容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20</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会计学院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广州市流动青少年的升学意愿的影响因素研究——基于结构方程模型的分析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饶梓歆、冯婧仪、李明慧、杨树鑫、郑钰妍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21</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广州市互联网医疗服务供需适配路径分析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陈凌君、蔡丰羽、陈沁汶、蔡资涵、侯晓梅、刘付晓琳、李梦瑶、万  达、朱鹏程、邹倩怡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22</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智慧城市背景下社区养老模式的研究——以深圳市颐康之家为例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乔  楚、王洁仪、孙小雅、谢向惠、郑采熠、邓婧兰、王俏蔓、刁  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23</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“研发创新-社会责任”互动共演与国有企业发展研究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陈晓欣、郑雅匀、许满丽、周义婷、王筱妍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24</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广东省地摊经济现状及发展对策调研</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彭海鸥、王  涵、陈舒琪、卢少华、潘晓怡、欧恩希、李懿宁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25</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金融学院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智库专家的政策参与：渠道、影响力与完善路径</w:t>
            </w:r>
          </w:p>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——以G市政府决策咨询专家库为例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刘  韫、钟斯琪、朱乐瑶、陈  杰、梁越嘉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26</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“互联网+”社区垃圾回收模式的实施效果及优化路径探析——以“小黄狗”为例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唐  雪、梁煜羚、徐碧婷、潘迪卉、徐启腾、吴苏薇、蔡力江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27</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金融科技在农业供应链平台中创新模式研究                                     —以农金圈为例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林欣琪、陈 越、梁炫炫、黄志霖、邓卓信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28</w:t>
            </w:r>
          </w:p>
        </w:tc>
        <w:tc>
          <w:tcPr>
            <w:tcW w:w="640"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东方语言文化学院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特色产业"引擎"如何推动乡村驶向振兴?——以洪福村及其所在乡镇江山市塘源口乡为例</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徐裕琴、叶欣楠、陈子灵、赵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29</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西方语言文化学院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新冠疫情危机下中医药的国际形象与海外公众认知——以中医药在非洲为例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张轩甄、陈日晖、张霖瑞、肖睿林、罗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30</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在逆全球化风潮及疫情影响下，跨境电商物流行业面临的困境及对策</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何子晴、郑柏川、张晓梅、张雯淇、张思琪、许跃浩、刘婕桐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31</w:t>
            </w:r>
          </w:p>
        </w:tc>
        <w:tc>
          <w:tcPr>
            <w:tcW w:w="640"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日语语言文化学院</w:t>
            </w:r>
          </w:p>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亚非语言文化学院（筹）</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蛰居族中的孤独因素与对策研究</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黄悦齐、黄璐瑶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32</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法学院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数据共享与个人信息保护——行业自律与法律规范并行的规制路径</w:t>
            </w:r>
          </w:p>
        </w:tc>
        <w:tc>
          <w:tcPr>
            <w:tcW w:w="1461"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韩宜序、张如诗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33</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乡村振兴背景下“一村一法律顾问”制度运行机制研究——以广东省矮光村为例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许  晴、赖世海、陈贤志、李国雄、李翊芝、林小煊、邱铭坚、谢羽航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34</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国际关系学院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双重环境教育对青年亲环境行为的影响研究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钟广豪、范  越、江子君、孙小雅、杜雨晴、陈嘉丹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35</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“互联网+”背景下推动区域特色旅游创新发展的探索与研究——基于英德的田野调查</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饶海钰、黄洁莹、麦茹晴、何浩然、吴国铭、欧炜棋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36</w:t>
            </w:r>
          </w:p>
        </w:tc>
        <w:tc>
          <w:tcPr>
            <w:tcW w:w="640" w:type="pc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英语教育学院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游戏化设计元素对网络公益行为的影响研究——以蚂蚁森林为例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洪伊玲、邓秋枫、李汶惠、严景腾、刘泓萱、陈诺诺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37</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社会与公共</w:t>
            </w:r>
          </w:p>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管理学院</w:t>
            </w:r>
          </w:p>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广东社会组织管理学院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社会组织党建功能评价及影响因素研究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林梦蕊、马  尧、徐樱萍、张静悦、秦颖欣、陈明成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38</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广州市在线医疗服务平台使用状况及其影响因素分析</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陈嘉丹、陈梓昊、张立宇、杜雨晴、陈婉琦、吴旭、陈靖元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39</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父亲的家庭教育方式对大学生情绪管理的影响研究——以广州市的高校为例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郑嘉怡、成贵媛、胡浩洋、赖春林、巫  易、吴可可、张立宇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40</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乡村齐治理：三治融合协同治理实现机制及成效研究——基于广东省4地11村的调查</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马  尧、赖世海、田世远、凌杨湄、刘夏菲、李翊芝、李春霏、李国雄、谢  蕊、许  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41</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新闻与传播</w:t>
            </w:r>
          </w:p>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重大公共卫生突发事件背景下城市形象的传播策略研究——基于广州疫情防控的公众评价与媒体报道视角</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徐  睿、陈皓晴、顾家沛、潘一晗、杨语昕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42</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带货主播行为对大学生冲动性消费的影响：感知交互性的多重中介作用</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陈盛晖、严凌昕、卓  健、蔡婧怡、胡  瑶、吴嘉荣、徐  睿、唐茗楠、张紫煜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43</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媒介赋权视角下公众参与食品安全监管的影响因素研究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江子君、梁 </w:t>
            </w:r>
            <w:r>
              <w:rPr>
                <w:rFonts w:ascii="仿宋_GB2312" w:hAnsi="Calibri" w:eastAsia="仿宋_GB2312" w:cs="Times New Roman"/>
                <w:sz w:val="24"/>
                <w:szCs w:val="24"/>
              </w:rPr>
              <w:t xml:space="preserve"> </w:t>
            </w:r>
            <w:r>
              <w:rPr>
                <w:rFonts w:hint="eastAsia" w:ascii="仿宋_GB2312" w:hAnsi="Calibri" w:eastAsia="仿宋_GB2312" w:cs="Times New Roman"/>
                <w:sz w:val="24"/>
                <w:szCs w:val="24"/>
              </w:rPr>
              <w:t>潆、陈嘉丹、屈晓雯、钟焯晰、贡宇川、陈靖元、孙小雅、吴国铭、许  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44</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构建三主体交互模型，探究“电商+直播+扶贫”模式的挑战和出路——以广州从化西和村为例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蔡  捷、潘一晗、刘靖渝、叶晓芬、王琼婕、万怡君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45</w:t>
            </w:r>
          </w:p>
        </w:tc>
        <w:tc>
          <w:tcPr>
            <w:tcW w:w="640" w:type="pct"/>
            <w:vMerge w:val="restart"/>
            <w:vAlign w:val="center"/>
          </w:tcPr>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数学与统计</w:t>
            </w:r>
          </w:p>
          <w:p>
            <w:pPr>
              <w:spacing w:line="5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学院</w:t>
            </w: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内卷化对考研意向影响研究——基于二分类Logistic回归模型</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刘  洁、鲁绮珊、蔡乐媛、宋  琪、张佳怡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46</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中国相对贫困多维减贫成效的统计测度研究</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王文捷、何彦桦、朱颖欣、陈婷婷、李宝莹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pPr>
              <w:spacing w:line="560" w:lineRule="exact"/>
              <w:jc w:val="center"/>
              <w:rPr>
                <w:rFonts w:ascii="仿宋_GB2312" w:eastAsia="仿宋_GB2312"/>
                <w:sz w:val="24"/>
                <w:szCs w:val="24"/>
              </w:rPr>
            </w:pPr>
            <w:r>
              <w:rPr>
                <w:rFonts w:hint="eastAsia" w:ascii="仿宋_GB2312" w:eastAsia="仿宋_GB2312"/>
                <w:sz w:val="24"/>
                <w:szCs w:val="24"/>
              </w:rPr>
              <w:t>47</w:t>
            </w:r>
          </w:p>
        </w:tc>
        <w:tc>
          <w:tcPr>
            <w:tcW w:w="640" w:type="pct"/>
            <w:vMerge w:val="continue"/>
            <w:vAlign w:val="center"/>
          </w:tcPr>
          <w:p>
            <w:pPr>
              <w:spacing w:line="560" w:lineRule="exact"/>
              <w:jc w:val="center"/>
              <w:rPr>
                <w:rFonts w:ascii="仿宋_GB2312" w:hAnsi="Calibri" w:eastAsia="仿宋_GB2312" w:cs="Times New Roman"/>
                <w:sz w:val="24"/>
                <w:szCs w:val="24"/>
              </w:rPr>
            </w:pPr>
          </w:p>
        </w:tc>
        <w:tc>
          <w:tcPr>
            <w:tcW w:w="917" w:type="pct"/>
            <w:vAlign w:val="center"/>
          </w:tcPr>
          <w:p>
            <w:pPr>
              <w:spacing w:line="560" w:lineRule="exact"/>
              <w:jc w:val="center"/>
              <w:rPr>
                <w:rFonts w:ascii="仿宋_GB2312" w:eastAsia="仿宋_GB2312"/>
                <w:sz w:val="24"/>
                <w:szCs w:val="24"/>
              </w:rPr>
            </w:pPr>
            <w:r>
              <w:rPr>
                <w:rFonts w:hint="eastAsia" w:ascii="方正仿宋_GBK" w:hAnsi="等线" w:eastAsia="方正仿宋_GBK"/>
                <w:color w:val="000000"/>
                <w:sz w:val="24"/>
                <w:szCs w:val="24"/>
              </w:rPr>
              <w:t>哲学社会科学类社会调查报告和学术论文</w:t>
            </w:r>
          </w:p>
        </w:tc>
        <w:tc>
          <w:tcPr>
            <w:tcW w:w="1683"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疫情谣言被群灭——探究群体智慧如何抑制不实信息的传播</w:t>
            </w:r>
          </w:p>
        </w:tc>
        <w:tc>
          <w:tcPr>
            <w:tcW w:w="1461" w:type="pct"/>
            <w:vAlign w:val="center"/>
          </w:tcPr>
          <w:p>
            <w:pPr>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吴品墨、江子君、孙小雅、屈晓雯、钟焯晰、陈鲁斌、梁至烨</w:t>
            </w:r>
          </w:p>
        </w:tc>
      </w:tr>
    </w:tbl>
    <w:p>
      <w:pPr>
        <w:rPr>
          <w:rFonts w:ascii="方正仿宋_GBK"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57ECE"/>
    <w:rsid w:val="5035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2020-12-03T15:26:00Z</dcterms:created>
  <dc:creator>昊</dc:creator>
  <cp:lastModifiedBy>昊</cp:lastModifiedBy>
  <dcterms:modified xsi:type="dcterms:W3CDTF">2020-12-03T15:26:44Z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