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w:t>
      </w:r>
    </w:p>
    <w:p>
      <w:pPr>
        <w:spacing w:line="72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w:t>
      </w:r>
      <w:r>
        <w:rPr>
          <w:rFonts w:ascii="方正小标宋简体" w:hAnsi="方正小标宋简体" w:eastAsia="方正小标宋简体" w:cs="方正小标宋简体"/>
          <w:sz w:val="44"/>
          <w:szCs w:val="44"/>
        </w:rPr>
        <w:t>21</w:t>
      </w:r>
      <w:r>
        <w:rPr>
          <w:rFonts w:hint="eastAsia" w:ascii="方正小标宋简体" w:hAnsi="方正小标宋简体" w:eastAsia="方正小标宋简体" w:cs="方正小标宋简体"/>
          <w:sz w:val="44"/>
          <w:szCs w:val="44"/>
        </w:rPr>
        <w:t>年广东省科技创新战略专项资金项目（“攀登计划”）校级遴选</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公开答辩晋级名单</w:t>
      </w:r>
    </w:p>
    <w:bookmarkEnd w:id="0"/>
    <w:p>
      <w:pPr>
        <w:spacing w:line="560" w:lineRule="exact"/>
        <w:jc w:val="center"/>
        <w:rPr>
          <w:rFonts w:ascii="仿宋_GB2312" w:eastAsia="仿宋_GB2312"/>
          <w:b/>
          <w:sz w:val="32"/>
          <w:szCs w:val="32"/>
        </w:rPr>
      </w:pPr>
      <w:r>
        <w:rPr>
          <w:rFonts w:hint="eastAsia" w:ascii="仿宋_GB2312" w:eastAsia="仿宋_GB2312"/>
          <w:b/>
          <w:sz w:val="32"/>
          <w:szCs w:val="32"/>
        </w:rPr>
        <w:t>（以下排名不分先后）</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815"/>
        <w:gridCol w:w="2600"/>
        <w:gridCol w:w="4772"/>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298" w:type="pct"/>
            <w:vAlign w:val="center"/>
          </w:tcPr>
          <w:p>
            <w:pPr>
              <w:spacing w:line="560" w:lineRule="exact"/>
              <w:jc w:val="center"/>
              <w:rPr>
                <w:rFonts w:ascii="仿宋_GB2312" w:eastAsia="仿宋_GB2312"/>
                <w:sz w:val="24"/>
                <w:szCs w:val="24"/>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序号</w:t>
            </w:r>
          </w:p>
        </w:tc>
        <w:tc>
          <w:tcPr>
            <w:tcW w:w="640" w:type="pct"/>
            <w:vAlign w:val="center"/>
          </w:tcPr>
          <w:p>
            <w:pPr>
              <w:spacing w:line="560" w:lineRule="exact"/>
              <w:jc w:val="center"/>
              <w:rPr>
                <w:rFonts w:ascii="仿宋_GB2312" w:eastAsia="仿宋_GB2312"/>
                <w:sz w:val="24"/>
                <w:szCs w:val="24"/>
              </w:rPr>
            </w:pPr>
            <w:r>
              <w:rPr>
                <w:rFonts w:hint="eastAsia" w:ascii="仿宋_GB2312" w:hAnsi="仿宋_GB2312" w:eastAsia="仿宋_GB2312" w:cs="仿宋_GB2312"/>
                <w:b/>
                <w:bCs/>
                <w:color w:val="333333"/>
                <w:kern w:val="0"/>
                <w:sz w:val="24"/>
                <w:szCs w:val="24"/>
                <w:shd w:val="clear" w:color="auto" w:fill="FFFFFF"/>
              </w:rPr>
              <w:t>所属单位</w:t>
            </w:r>
          </w:p>
        </w:tc>
        <w:tc>
          <w:tcPr>
            <w:tcW w:w="917" w:type="pct"/>
            <w:vAlign w:val="center"/>
          </w:tcPr>
          <w:p>
            <w:pPr>
              <w:spacing w:line="560" w:lineRule="exact"/>
              <w:jc w:val="center"/>
              <w:rPr>
                <w:rFonts w:ascii="仿宋_GB2312" w:eastAsia="仿宋_GB2312"/>
                <w:sz w:val="24"/>
                <w:szCs w:val="24"/>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项目类别</w:t>
            </w:r>
          </w:p>
        </w:tc>
        <w:tc>
          <w:tcPr>
            <w:tcW w:w="1683" w:type="pct"/>
            <w:vAlign w:val="center"/>
          </w:tcPr>
          <w:p>
            <w:pPr>
              <w:spacing w:line="560" w:lineRule="exact"/>
              <w:jc w:val="center"/>
              <w:rPr>
                <w:rFonts w:ascii="仿宋_GB2312" w:eastAsia="仿宋_GB2312"/>
                <w:sz w:val="24"/>
                <w:szCs w:val="24"/>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项目名称</w:t>
            </w:r>
          </w:p>
        </w:tc>
        <w:tc>
          <w:tcPr>
            <w:tcW w:w="1461" w:type="pct"/>
            <w:vAlign w:val="center"/>
          </w:tcPr>
          <w:p>
            <w:pPr>
              <w:spacing w:line="560" w:lineRule="exact"/>
              <w:jc w:val="center"/>
              <w:rPr>
                <w:rFonts w:ascii="仿宋_GB2312" w:eastAsia="仿宋_GB2312"/>
                <w:sz w:val="24"/>
                <w:szCs w:val="24"/>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项目成员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1</w:t>
            </w:r>
          </w:p>
        </w:tc>
        <w:tc>
          <w:tcPr>
            <w:tcW w:w="640" w:type="pc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英语语言文化学院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eastAsia="仿宋_GB2312"/>
                <w:sz w:val="24"/>
                <w:szCs w:val="24"/>
              </w:rPr>
            </w:pPr>
            <w:r>
              <w:rPr>
                <w:rFonts w:hint="eastAsia" w:ascii="仿宋_GB2312" w:hAnsi="Calibri" w:eastAsia="仿宋_GB2312" w:cs="Times New Roman"/>
                <w:sz w:val="24"/>
                <w:szCs w:val="24"/>
              </w:rPr>
              <w:t>新冠肺炎时期中国博物馆的应对之策和观众感知</w:t>
            </w:r>
          </w:p>
        </w:tc>
        <w:tc>
          <w:tcPr>
            <w:tcW w:w="1461" w:type="pct"/>
            <w:vAlign w:val="center"/>
          </w:tcPr>
          <w:p>
            <w:pPr>
              <w:spacing w:line="560" w:lineRule="exact"/>
              <w:rPr>
                <w:rFonts w:ascii="仿宋_GB2312" w:eastAsia="仿宋_GB2312"/>
                <w:sz w:val="24"/>
                <w:szCs w:val="24"/>
              </w:rPr>
            </w:pPr>
            <w:r>
              <w:rPr>
                <w:rFonts w:hint="eastAsia" w:ascii="仿宋_GB2312" w:hAnsi="Calibri" w:eastAsia="仿宋_GB2312" w:cs="Times New Roman"/>
                <w:sz w:val="24"/>
                <w:szCs w:val="24"/>
              </w:rPr>
              <w:t>苏子君、吴剑璇、陈诗琪、罗晓彤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2</w:t>
            </w:r>
          </w:p>
        </w:tc>
        <w:tc>
          <w:tcPr>
            <w:tcW w:w="640" w:type="pct"/>
            <w:vMerge w:val="restart"/>
            <w:vAlign w:val="center"/>
          </w:tcPr>
          <w:p>
            <w:pPr>
              <w:spacing w:line="560" w:lineRule="exact"/>
              <w:jc w:val="center"/>
              <w:rPr>
                <w:rFonts w:ascii="仿宋_GB2312" w:eastAsia="仿宋_GB2312"/>
                <w:sz w:val="24"/>
                <w:szCs w:val="24"/>
              </w:rPr>
            </w:pPr>
            <w:r>
              <w:rPr>
                <w:rFonts w:hint="eastAsia" w:ascii="仿宋_GB2312" w:hAnsi="Calibri" w:eastAsia="仿宋_GB2312" w:cs="Times New Roman"/>
                <w:sz w:val="24"/>
                <w:szCs w:val="24"/>
              </w:rPr>
              <w:t>经济贸易学院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eastAsia="仿宋_GB2312"/>
                <w:sz w:val="24"/>
                <w:szCs w:val="24"/>
              </w:rPr>
            </w:pPr>
            <w:r>
              <w:rPr>
                <w:rFonts w:hint="eastAsia" w:ascii="仿宋_GB2312" w:hAnsi="Calibri" w:eastAsia="仿宋_GB2312" w:cs="Times New Roman"/>
                <w:sz w:val="24"/>
                <w:szCs w:val="24"/>
              </w:rPr>
              <w:t>“中国制造2025”促进了制造业企业“脱虚向实”吗？</w:t>
            </w:r>
          </w:p>
        </w:tc>
        <w:tc>
          <w:tcPr>
            <w:tcW w:w="1461" w:type="pct"/>
            <w:vAlign w:val="center"/>
          </w:tcPr>
          <w:p>
            <w:pPr>
              <w:spacing w:line="560" w:lineRule="exact"/>
              <w:rPr>
                <w:rFonts w:ascii="仿宋_GB2312" w:eastAsia="仿宋_GB2312"/>
                <w:sz w:val="24"/>
                <w:szCs w:val="24"/>
              </w:rPr>
            </w:pPr>
            <w:r>
              <w:rPr>
                <w:rFonts w:hint="eastAsia" w:ascii="仿宋_GB2312" w:hAnsi="Calibri" w:eastAsia="仿宋_GB2312" w:cs="Times New Roman"/>
                <w:sz w:val="24"/>
                <w:szCs w:val="24"/>
              </w:rPr>
              <w:t>黄志霖、陈  越、梁炫炫、邓卓信、罗  颖、蔡孟君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3</w:t>
            </w:r>
          </w:p>
        </w:tc>
        <w:tc>
          <w:tcPr>
            <w:tcW w:w="640" w:type="pct"/>
            <w:vMerge w:val="continue"/>
            <w:vAlign w:val="center"/>
          </w:tcPr>
          <w:p>
            <w:pPr>
              <w:spacing w:line="560" w:lineRule="exact"/>
              <w:jc w:val="center"/>
              <w:rPr>
                <w:rFonts w:ascii="仿宋_GB2312" w:eastAsia="仿宋_GB2312"/>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eastAsia="仿宋_GB2312"/>
                <w:sz w:val="24"/>
                <w:szCs w:val="24"/>
              </w:rPr>
            </w:pPr>
            <w:r>
              <w:rPr>
                <w:rFonts w:hint="eastAsia" w:ascii="仿宋_GB2312" w:hAnsi="Calibri" w:eastAsia="仿宋_GB2312" w:cs="Times New Roman"/>
                <w:sz w:val="24"/>
                <w:szCs w:val="24"/>
              </w:rPr>
              <w:t>双循环背景下服务贸易国际竞争力对劳动力需求结构的影响机制与政策建议——基于我国服务贸易和劳动力数据分析</w:t>
            </w:r>
          </w:p>
        </w:tc>
        <w:tc>
          <w:tcPr>
            <w:tcW w:w="1461" w:type="pct"/>
            <w:vAlign w:val="center"/>
          </w:tcPr>
          <w:p>
            <w:pPr>
              <w:spacing w:line="560" w:lineRule="exact"/>
              <w:rPr>
                <w:rFonts w:ascii="仿宋_GB2312" w:eastAsia="仿宋_GB2312"/>
                <w:sz w:val="24"/>
                <w:szCs w:val="24"/>
              </w:rPr>
            </w:pPr>
            <w:r>
              <w:rPr>
                <w:rFonts w:hint="eastAsia" w:ascii="仿宋_GB2312" w:hAnsi="Calibri" w:eastAsia="仿宋_GB2312" w:cs="Times New Roman"/>
                <w:sz w:val="24"/>
                <w:szCs w:val="24"/>
              </w:rPr>
              <w:t>马紫孟、朱  鑫、卢贞榉、蔡晓楠、邓  昊、李成霖、欧峰昊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4</w:t>
            </w:r>
          </w:p>
        </w:tc>
        <w:tc>
          <w:tcPr>
            <w:tcW w:w="640" w:type="pct"/>
            <w:vMerge w:val="continue"/>
            <w:vAlign w:val="center"/>
          </w:tcPr>
          <w:p>
            <w:pPr>
              <w:spacing w:line="560" w:lineRule="exact"/>
              <w:jc w:val="center"/>
              <w:rPr>
                <w:rFonts w:ascii="仿宋_GB2312" w:eastAsia="仿宋_GB2312"/>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eastAsia="仿宋_GB2312"/>
                <w:sz w:val="24"/>
                <w:szCs w:val="24"/>
              </w:rPr>
            </w:pPr>
            <w:r>
              <w:rPr>
                <w:rFonts w:hint="eastAsia" w:ascii="仿宋_GB2312" w:hAnsi="Calibri" w:eastAsia="仿宋_GB2312" w:cs="Times New Roman"/>
                <w:sz w:val="24"/>
                <w:szCs w:val="24"/>
              </w:rPr>
              <w:t>城市群扩容能否提升城市间协同创新水平？——以长三角城市群为例的合成控制法分析</w:t>
            </w:r>
          </w:p>
        </w:tc>
        <w:tc>
          <w:tcPr>
            <w:tcW w:w="1461" w:type="pct"/>
            <w:vAlign w:val="center"/>
          </w:tcPr>
          <w:p>
            <w:pPr>
              <w:spacing w:line="560" w:lineRule="exact"/>
              <w:rPr>
                <w:rFonts w:ascii="仿宋_GB2312" w:eastAsia="仿宋_GB2312"/>
                <w:sz w:val="24"/>
                <w:szCs w:val="24"/>
              </w:rPr>
            </w:pPr>
            <w:r>
              <w:rPr>
                <w:rFonts w:hint="eastAsia" w:ascii="仿宋_GB2312" w:hAnsi="Calibri" w:eastAsia="仿宋_GB2312" w:cs="Times New Roman"/>
                <w:sz w:val="24"/>
                <w:szCs w:val="24"/>
              </w:rPr>
              <w:t>何志庆、林志文、侯柳彤、李嘉博、朱乐瑶、刘韫、贡宇川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5</w:t>
            </w:r>
          </w:p>
        </w:tc>
        <w:tc>
          <w:tcPr>
            <w:tcW w:w="640" w:type="pct"/>
            <w:vMerge w:val="continue"/>
            <w:vAlign w:val="center"/>
          </w:tcPr>
          <w:p>
            <w:pPr>
              <w:spacing w:line="560" w:lineRule="exact"/>
              <w:jc w:val="center"/>
              <w:rPr>
                <w:rFonts w:ascii="仿宋_GB2312" w:eastAsia="仿宋_GB2312"/>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eastAsia="仿宋_GB2312"/>
                <w:sz w:val="24"/>
                <w:szCs w:val="24"/>
              </w:rPr>
            </w:pPr>
            <w:r>
              <w:rPr>
                <w:rFonts w:hint="eastAsia" w:ascii="仿宋_GB2312" w:hAnsi="Calibri" w:eastAsia="仿宋_GB2312" w:cs="Times New Roman"/>
                <w:sz w:val="24"/>
                <w:szCs w:val="24"/>
              </w:rPr>
              <w:t>什么影响了老人的养老意愿——基于广州市社会养老需求的实证研究</w:t>
            </w:r>
          </w:p>
        </w:tc>
        <w:tc>
          <w:tcPr>
            <w:tcW w:w="1461" w:type="pct"/>
            <w:vAlign w:val="center"/>
          </w:tcPr>
          <w:p>
            <w:pPr>
              <w:spacing w:line="560" w:lineRule="exact"/>
              <w:rPr>
                <w:rFonts w:ascii="仿宋_GB2312" w:eastAsia="仿宋_GB2312"/>
                <w:sz w:val="24"/>
                <w:szCs w:val="24"/>
              </w:rPr>
            </w:pPr>
            <w:r>
              <w:rPr>
                <w:rFonts w:hint="eastAsia" w:ascii="仿宋_GB2312" w:hAnsi="Calibri" w:eastAsia="仿宋_GB2312" w:cs="Times New Roman"/>
                <w:sz w:val="24"/>
                <w:szCs w:val="24"/>
              </w:rPr>
              <w:t>郭  锐、招颖怡、谢嘉丽、张明英、毛  珊、胡小睿、袁芷欣、方逸之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6</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“扶贫扶志扶智”：脱贫攻坚推动乡村振兴的广东经验——基于14个地市22个省定贫困村842位农户调研</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马紫孟、李承霖、沈晓楠、王灵灵、温碧儿、陈蔼伦、周至涵、童一舟、蔡东凝、廖志承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7</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广州服务业推动珠三角创新发展面临的问题与对策</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王昱凯、李卓尔、吴可可、郑子彬、梁露雯、蔡敏如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8</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农地经营规模对农业碳排放的影响——边际减排成本的中介及财政支农水平的调节</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卓  健、徐  楠、谭凯儿、吴  楠、王  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9</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粤港澳大湾区城市群建设在双循环中促进外资进入了吗？——基于双重差分析法的证据</w:t>
            </w:r>
          </w:p>
        </w:tc>
        <w:tc>
          <w:tcPr>
            <w:tcW w:w="1461" w:type="pc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侯柳彤、黄</w:t>
            </w:r>
            <w:r>
              <w:rPr>
                <w:rFonts w:hint="eastAsia" w:ascii="仿宋" w:hAnsi="仿宋" w:eastAsia="仿宋" w:cs="微软雅黑"/>
                <w:sz w:val="24"/>
                <w:szCs w:val="24"/>
              </w:rPr>
              <w:t>嫚</w:t>
            </w:r>
            <w:r>
              <w:rPr>
                <w:rFonts w:hint="eastAsia" w:ascii="仿宋_GB2312" w:hAnsi="仿宋_GB2312" w:eastAsia="仿宋_GB2312" w:cs="仿宋_GB2312"/>
                <w:sz w:val="24"/>
                <w:szCs w:val="24"/>
              </w:rPr>
              <w:t>虹、胡浩洋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10</w:t>
            </w:r>
          </w:p>
        </w:tc>
        <w:tc>
          <w:tcPr>
            <w:tcW w:w="640" w:type="pct"/>
            <w:vMerge w:val="restar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国际商务英语学院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探究疫情背景下健康码的使用现状及未来发展建议</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卓小焱、潘淑君、古淑碧、郑兰馨、蔡梦洁、何雅颖、许颖思、周静宜、罗韵琦、陈  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11</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“一带一路”沿线国家的基础设施建设和创新绩效：影响机制和实证检验</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朱超玮、姚韵彤、陈  越、黄志霖、沈晓楠、吴泽婷、罗  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12</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以旧焕新 守正出奇——广州上下九骑楼街的文化保护与发展研究</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张雪欣、朱明艳、莫巧莉、朱安淇、郑楚珊、谢可欣、赖怡欣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13</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乡村振兴背景下化州橘红产业的现状、问题及对策研究</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何柳玲、王惠锋、凌  鑫、王君呈、刘付格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14</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广东省区域发展不平衡的空间分布和动态演变—基于DEA-Malmquist指数法和核密度函数的动态实证分析</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沈泳嘉、朱超玮、刘俊轩、张  艳、莫家惠、姚韵彤、沈晓楠、董佩仪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15</w:t>
            </w:r>
          </w:p>
        </w:tc>
        <w:tc>
          <w:tcPr>
            <w:tcW w:w="640" w:type="pct"/>
            <w:vMerge w:val="restar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商学院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直播带货情境下消费者购买农产品意愿影响因素研究</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伍仪婷、王  莹、黄芷欣、潘家祺、谢  飘、胡越芊、邹曙鸿、李婉菁、江佳瑜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16</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开放促升级：自贸区设立对产业结构优化升级政策效应——基于PSM-DID方法的实证分析</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 xml:space="preserve">赖世海、李国雄、陈贤志、李春霏、黄咏欣、谢 </w:t>
            </w:r>
            <w:r>
              <w:rPr>
                <w:rFonts w:ascii="仿宋_GB2312" w:hAnsi="Calibri" w:eastAsia="仿宋_GB2312" w:cs="Times New Roman"/>
                <w:sz w:val="24"/>
                <w:szCs w:val="24"/>
              </w:rPr>
              <w:t xml:space="preserve"> </w:t>
            </w:r>
            <w:r>
              <w:rPr>
                <w:rFonts w:hint="eastAsia" w:ascii="仿宋_GB2312" w:hAnsi="Calibri" w:eastAsia="仿宋_GB2312" w:cs="Times New Roman"/>
                <w:sz w:val="24"/>
                <w:szCs w:val="24"/>
              </w:rPr>
              <w:t>蕊、许  晴、田世远、凌杨湄、马  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17</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中国省份创新能力提升了出口韧性吗？——基于中国31个省市的面板数据分析</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 xml:space="preserve">黄  禧、钱  </w:t>
            </w:r>
            <w:r>
              <w:rPr>
                <w:rFonts w:hint="eastAsia" w:ascii="仿宋" w:hAnsi="仿宋" w:eastAsia="仿宋" w:cs="微软雅黑"/>
                <w:sz w:val="24"/>
                <w:szCs w:val="24"/>
              </w:rPr>
              <w:t>祎</w:t>
            </w:r>
            <w:r>
              <w:rPr>
                <w:rFonts w:hint="eastAsia" w:ascii="仿宋_GB2312" w:hAnsi="仿宋_GB2312" w:eastAsia="仿宋_GB2312" w:cs="仿宋_GB2312"/>
                <w:sz w:val="24"/>
                <w:szCs w:val="24"/>
              </w:rPr>
              <w:t>、陈泽燕、黄心仪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18</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土地资源配置扭曲对碳排放效率的影响效应及机制分析——基于中国255个地级市数据的实证分析</w:t>
            </w:r>
          </w:p>
        </w:tc>
        <w:tc>
          <w:tcPr>
            <w:tcW w:w="1461" w:type="pc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黄  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19</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新冠疫情重灾区多种应急医疗物资配置效率评估——以中国武汉市为例</w:t>
            </w:r>
          </w:p>
        </w:tc>
        <w:tc>
          <w:tcPr>
            <w:tcW w:w="1461" w:type="pc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曾  玲、罗惠容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20</w:t>
            </w:r>
          </w:p>
        </w:tc>
        <w:tc>
          <w:tcPr>
            <w:tcW w:w="640" w:type="pct"/>
            <w:vMerge w:val="restar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会计学院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广州市流动青少年的升学意愿的影响因素研究——基于结构方程模型的分析</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饶梓歆、冯婧仪、李明慧、杨树鑫、郑钰妍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21</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广州市互联网医疗服务供需适配路径分析</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陈凌君、蔡丰羽、陈沁汶、蔡资涵、侯晓梅、刘付晓琳、李梦瑶、万  达、朱鹏程、邹倩怡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22</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智慧城市背景下社区养老模式的研究——以深圳市颐康之家为例</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乔  楚、王洁仪、孙小雅、谢向惠、郑采熠、邓婧兰、王俏蔓、刁  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23</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“研发创新-社会责任”互动共演与国有企业发展研究</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陈晓欣、郑雅匀、许满丽、周义婷、王筱妍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24</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广东省地摊经济现状及发展对策调研</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彭海鸥、王  涵、陈舒琪、卢少华、潘晓怡、欧恩希、李懿宁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25</w:t>
            </w:r>
          </w:p>
        </w:tc>
        <w:tc>
          <w:tcPr>
            <w:tcW w:w="640" w:type="pct"/>
            <w:vMerge w:val="restar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金融学院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智库专家的政策参与：渠道、影响力与完善路径</w:t>
            </w:r>
          </w:p>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——以G市政府决策咨询专家库为例</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刘  韫、钟斯琪、朱乐瑶、陈  杰、梁越嘉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26</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“互联网+”社区垃圾回收模式的实施效果及优化路径探析——以“小黄狗”为例</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唐  雪、梁煜羚、徐碧婷、潘迪卉、徐启腾、吴苏薇、蔡力江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27</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金融科技在农业供应链平台中创新模式研究                                     —以农金圈为例</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林欣琪、陈 越、梁炫炫、黄志霖、邓卓信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28</w:t>
            </w:r>
          </w:p>
        </w:tc>
        <w:tc>
          <w:tcPr>
            <w:tcW w:w="640" w:type="pc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东方语言文化学院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特色产业"引擎"如何推动乡村驶向振兴?——以洪福村及其所在乡镇江山市塘源口乡为例</w:t>
            </w:r>
          </w:p>
        </w:tc>
        <w:tc>
          <w:tcPr>
            <w:tcW w:w="1461" w:type="pc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徐裕琴、叶欣楠、陈子灵、赵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29</w:t>
            </w:r>
          </w:p>
        </w:tc>
        <w:tc>
          <w:tcPr>
            <w:tcW w:w="640" w:type="pct"/>
            <w:vMerge w:val="restar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西方语言文化学院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新冠疫情危机下中医药的国际形象与海外公众认知——以中医药在非洲为例</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张轩甄、陈日晖、张霖瑞、肖睿林、罗  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30</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在逆全球化风潮及疫情影响下，跨境电商物流行业面临的困境及对策</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何子晴、郑柏川、张晓梅、张雯淇、张思琪、许跃浩、刘婕桐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31</w:t>
            </w:r>
          </w:p>
        </w:tc>
        <w:tc>
          <w:tcPr>
            <w:tcW w:w="640" w:type="pc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日语语言文化学院</w:t>
            </w:r>
          </w:p>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亚非语言文化学院（筹）</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蛰居族中的孤独因素与对策研究</w:t>
            </w:r>
          </w:p>
        </w:tc>
        <w:tc>
          <w:tcPr>
            <w:tcW w:w="1461" w:type="pc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黄悦齐、黄璐瑶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32</w:t>
            </w:r>
          </w:p>
        </w:tc>
        <w:tc>
          <w:tcPr>
            <w:tcW w:w="640" w:type="pct"/>
            <w:vMerge w:val="restar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法学院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数据共享与个人信息保护——行业自律与法律规范并行的规制路径</w:t>
            </w:r>
          </w:p>
        </w:tc>
        <w:tc>
          <w:tcPr>
            <w:tcW w:w="1461" w:type="pc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韩宜序、张如诗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33</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乡村振兴背景下“一村一法律顾问”制度运行机制研究——以广东省矮光村为例</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许  晴、赖世海、陈贤志、李国雄、李翊芝、林小煊、邱铭坚、谢羽航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34</w:t>
            </w:r>
          </w:p>
        </w:tc>
        <w:tc>
          <w:tcPr>
            <w:tcW w:w="640" w:type="pct"/>
            <w:vMerge w:val="restar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国际关系学院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双重环境教育对青年亲环境行为的影响研究</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钟广豪、范  越、江子君、孙小雅、杜雨晴、陈嘉丹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35</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“互联网+”背景下推动区域特色旅游创新发展的探索与研究——基于英德的田野调查</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饶海钰、黄洁莹、麦茹晴、何浩然、吴国铭、欧炜棋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36</w:t>
            </w:r>
          </w:p>
        </w:tc>
        <w:tc>
          <w:tcPr>
            <w:tcW w:w="640" w:type="pc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英语教育学院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游戏化设计元素对网络公益行为的影响研究——以蚂蚁森林为例</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洪伊玲、邓秋枫、李汶惠、严景腾、刘泓萱、陈诺诺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37</w:t>
            </w:r>
          </w:p>
        </w:tc>
        <w:tc>
          <w:tcPr>
            <w:tcW w:w="640" w:type="pct"/>
            <w:vMerge w:val="restar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社会与公共</w:t>
            </w:r>
          </w:p>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管理学院</w:t>
            </w:r>
          </w:p>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广东社会组织管理学院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社会组织党建功能评价及影响因素研究</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林梦蕊、马  尧、徐樱萍、张静悦、秦颖欣、陈明成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38</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广州市在线医疗服务平台使用状况及其影响因素分析</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陈嘉丹、陈梓昊、张立宇、杜雨晴、陈婉琦、吴旭、陈靖元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39</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父亲的家庭教育方式对大学生情绪管理的影响研究——以广州市的高校为例</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郑嘉怡、成贵媛、胡浩洋、赖春林、巫  易、吴可可、张立宇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40</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乡村齐治理：三治融合协同治理实现机制及成效研究——基于广东省4地11村的调查</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马  尧、赖世海、田世远、凌杨湄、刘夏菲、李翊芝、李春霏、李国雄、谢  蕊、许  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41</w:t>
            </w:r>
          </w:p>
        </w:tc>
        <w:tc>
          <w:tcPr>
            <w:tcW w:w="640" w:type="pct"/>
            <w:vMerge w:val="restar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新闻与传播</w:t>
            </w:r>
          </w:p>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重大公共卫生突发事件背景下城市形象的传播策略研究——基于广州疫情防控的公众评价与媒体报道视角</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徐  睿、陈皓晴、顾家沛、潘一晗、杨语昕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42</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带货主播行为对大学生冲动性消费的影响：感知交互性的多重中介作用</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陈盛晖、严凌昕、卓  健、蔡婧怡、胡  瑶、吴嘉荣、徐  睿、唐茗楠、张紫煜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43</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媒介赋权视角下公众参与食品安全监管的影响因素研究</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 xml:space="preserve">江子君、梁 </w:t>
            </w:r>
            <w:r>
              <w:rPr>
                <w:rFonts w:ascii="仿宋_GB2312" w:hAnsi="Calibri" w:eastAsia="仿宋_GB2312" w:cs="Times New Roman"/>
                <w:sz w:val="24"/>
                <w:szCs w:val="24"/>
              </w:rPr>
              <w:t xml:space="preserve"> </w:t>
            </w:r>
            <w:r>
              <w:rPr>
                <w:rFonts w:hint="eastAsia" w:ascii="仿宋_GB2312" w:hAnsi="Calibri" w:eastAsia="仿宋_GB2312" w:cs="Times New Roman"/>
                <w:sz w:val="24"/>
                <w:szCs w:val="24"/>
              </w:rPr>
              <w:t>潆、陈嘉丹、屈晓雯、钟焯晰、贡宇川、陈靖元、孙小雅、吴国铭、许  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44</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构建三主体交互模型，探究“电商+直播+扶贫”模式的挑战和出路——以广州从化西和村为例</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蔡  捷、潘一晗、刘靖渝、叶晓芬、王琼婕、万怡君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45</w:t>
            </w:r>
          </w:p>
        </w:tc>
        <w:tc>
          <w:tcPr>
            <w:tcW w:w="640" w:type="pct"/>
            <w:vMerge w:val="restart"/>
            <w:vAlign w:val="center"/>
          </w:tcPr>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数学与统计</w:t>
            </w:r>
          </w:p>
          <w:p>
            <w:pPr>
              <w:spacing w:line="5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学院</w:t>
            </w: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内卷化对考研意向影响研究——基于二分类Logistic回归模型</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刘  洁、鲁绮珊、蔡乐媛、宋  琪、张佳怡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46</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中国相对贫困多维减贫成效的统计测度研究</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王文捷、何彦桦、朱颖欣、陈婷婷、李宝莹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spacing w:line="560" w:lineRule="exact"/>
              <w:jc w:val="center"/>
              <w:rPr>
                <w:rFonts w:ascii="仿宋_GB2312" w:eastAsia="仿宋_GB2312"/>
                <w:sz w:val="24"/>
                <w:szCs w:val="24"/>
              </w:rPr>
            </w:pPr>
            <w:r>
              <w:rPr>
                <w:rFonts w:hint="eastAsia" w:ascii="仿宋_GB2312" w:eastAsia="仿宋_GB2312"/>
                <w:sz w:val="24"/>
                <w:szCs w:val="24"/>
              </w:rPr>
              <w:t>47</w:t>
            </w:r>
          </w:p>
        </w:tc>
        <w:tc>
          <w:tcPr>
            <w:tcW w:w="640" w:type="pct"/>
            <w:vMerge w:val="continue"/>
            <w:vAlign w:val="center"/>
          </w:tcPr>
          <w:p>
            <w:pPr>
              <w:spacing w:line="560" w:lineRule="exact"/>
              <w:jc w:val="center"/>
              <w:rPr>
                <w:rFonts w:ascii="仿宋_GB2312" w:hAnsi="Calibri" w:eastAsia="仿宋_GB2312" w:cs="Times New Roman"/>
                <w:sz w:val="24"/>
                <w:szCs w:val="24"/>
              </w:rPr>
            </w:pPr>
          </w:p>
        </w:tc>
        <w:tc>
          <w:tcPr>
            <w:tcW w:w="917" w:type="pct"/>
            <w:vAlign w:val="center"/>
          </w:tcPr>
          <w:p>
            <w:pPr>
              <w:spacing w:line="560" w:lineRule="exact"/>
              <w:jc w:val="center"/>
              <w:rPr>
                <w:rFonts w:ascii="仿宋_GB2312" w:eastAsia="仿宋_GB2312"/>
                <w:sz w:val="24"/>
                <w:szCs w:val="24"/>
              </w:rPr>
            </w:pPr>
            <w:r>
              <w:rPr>
                <w:rFonts w:hint="eastAsia" w:ascii="方正仿宋_GBK" w:hAnsi="等线" w:eastAsia="方正仿宋_GBK"/>
                <w:color w:val="000000"/>
                <w:sz w:val="24"/>
                <w:szCs w:val="24"/>
              </w:rPr>
              <w:t>哲学社会科学类社会调查报告和学术论文</w:t>
            </w:r>
          </w:p>
        </w:tc>
        <w:tc>
          <w:tcPr>
            <w:tcW w:w="1683"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疫情谣言被群灭——探究群体智慧如何抑制不实信息的传播</w:t>
            </w:r>
          </w:p>
        </w:tc>
        <w:tc>
          <w:tcPr>
            <w:tcW w:w="1461" w:type="pct"/>
            <w:vAlign w:val="center"/>
          </w:tcPr>
          <w:p>
            <w:pPr>
              <w:spacing w:line="560" w:lineRule="exact"/>
              <w:rPr>
                <w:rFonts w:ascii="仿宋_GB2312" w:hAnsi="Calibri" w:eastAsia="仿宋_GB2312" w:cs="Times New Roman"/>
                <w:sz w:val="24"/>
                <w:szCs w:val="24"/>
              </w:rPr>
            </w:pPr>
            <w:r>
              <w:rPr>
                <w:rFonts w:hint="eastAsia" w:ascii="仿宋_GB2312" w:hAnsi="Calibri" w:eastAsia="仿宋_GB2312" w:cs="Times New Roman"/>
                <w:sz w:val="24"/>
                <w:szCs w:val="24"/>
              </w:rPr>
              <w:t>吴品墨、江子君、孙小雅、屈晓雯、钟焯晰、陈鲁斌、梁至烨</w:t>
            </w:r>
          </w:p>
        </w:tc>
      </w:tr>
    </w:tbl>
    <w:p>
      <w:pPr>
        <w:rPr>
          <w:rFonts w:ascii="方正仿宋_GBK" w:eastAsia="方正仿宋_GBK"/>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57ECE"/>
    <w:rsid w:val="5035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2020-12-03T15:26:00Z</dcterms:created>
  <dc:creator>昊</dc:creator>
  <cp:lastModifiedBy>昊</cp:lastModifiedBy>
  <dcterms:modified xsi:type="dcterms:W3CDTF">2020-12-03T15:26:44Z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