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3155"/>
        </w:tabs>
        <w:spacing w:line="720" w:lineRule="exact"/>
        <w:jc w:val="center"/>
        <w:rPr>
          <w:rFonts w:ascii="方正仿宋_GBK" w:hAnsi="方正小标宋简体" w:eastAsia="方正仿宋_GBK" w:cs="方正小标宋简体"/>
          <w:kern w:val="0"/>
          <w:sz w:val="44"/>
          <w:szCs w:val="44"/>
        </w:rPr>
      </w:pPr>
      <w:r>
        <w:rPr>
          <w:rFonts w:hint="eastAsia" w:ascii="方正仿宋_GBK" w:hAnsi="方正小标宋简体" w:eastAsia="方正仿宋_GBK" w:cs="方正小标宋简体"/>
          <w:kern w:val="0"/>
          <w:sz w:val="44"/>
          <w:szCs w:val="44"/>
        </w:rPr>
        <w:t>第十五届“挑战杯”广东大学生课外</w:t>
      </w:r>
    </w:p>
    <w:p>
      <w:pPr>
        <w:tabs>
          <w:tab w:val="left" w:pos="3155"/>
        </w:tabs>
        <w:spacing w:line="720" w:lineRule="exact"/>
        <w:jc w:val="center"/>
        <w:rPr>
          <w:rFonts w:ascii="方正仿宋_GBK" w:hAnsi="方正小标宋简体" w:eastAsia="方正仿宋_GBK" w:cs="方正小标宋简体"/>
          <w:kern w:val="0"/>
          <w:sz w:val="44"/>
          <w:szCs w:val="44"/>
        </w:rPr>
      </w:pPr>
      <w:r>
        <w:rPr>
          <w:rFonts w:hint="eastAsia" w:ascii="方正仿宋_GBK" w:hAnsi="方正小标宋简体" w:eastAsia="方正仿宋_GBK" w:cs="方正小标宋简体"/>
          <w:kern w:val="0"/>
          <w:sz w:val="44"/>
          <w:szCs w:val="44"/>
        </w:rPr>
        <w:t>学术科技作品竞赛获奖选题</w:t>
      </w:r>
    </w:p>
    <w:p>
      <w:pPr>
        <w:tabs>
          <w:tab w:val="left" w:pos="3155"/>
        </w:tabs>
        <w:spacing w:line="720" w:lineRule="exact"/>
        <w:jc w:val="center"/>
        <w:rPr>
          <w:rFonts w:ascii="方正仿宋_GBK" w:hAnsi="方正小标宋简体" w:eastAsia="方正仿宋_GBK" w:cs="方正小标宋简体"/>
          <w:kern w:val="0"/>
          <w:sz w:val="44"/>
          <w:szCs w:val="44"/>
        </w:rPr>
      </w:pPr>
      <w:r>
        <w:rPr>
          <w:rFonts w:hint="eastAsia" w:ascii="方正仿宋_GBK" w:hAnsi="方正小标宋简体" w:eastAsia="方正仿宋_GBK" w:cs="方正小标宋简体"/>
          <w:kern w:val="0"/>
          <w:sz w:val="44"/>
          <w:szCs w:val="44"/>
        </w:rPr>
        <w:t>（2019年版供参考）</w:t>
      </w:r>
    </w:p>
    <w:p>
      <w:pPr>
        <w:tabs>
          <w:tab w:val="left" w:pos="3155"/>
        </w:tabs>
        <w:spacing w:line="560" w:lineRule="exact"/>
        <w:jc w:val="center"/>
        <w:rPr>
          <w:rFonts w:ascii="方正仿宋_GBK" w:hAnsi="方正小标宋简体" w:eastAsia="方正仿宋_GBK" w:cs="方正小标宋简体"/>
          <w:kern w:val="0"/>
          <w:sz w:val="32"/>
          <w:szCs w:val="32"/>
        </w:rPr>
      </w:pPr>
    </w:p>
    <w:p>
      <w:pPr>
        <w:tabs>
          <w:tab w:val="left" w:pos="3155"/>
        </w:tabs>
        <w:spacing w:line="560" w:lineRule="exact"/>
        <w:jc w:val="center"/>
        <w:rPr>
          <w:rFonts w:ascii="方正仿宋_GBK" w:hAnsi="仿宋_GB2312" w:eastAsia="方正仿宋_GBK" w:cs="仿宋_GB2312"/>
          <w:b/>
          <w:bCs/>
          <w:sz w:val="32"/>
          <w:szCs w:val="32"/>
        </w:rPr>
      </w:pPr>
      <w:r>
        <w:rPr>
          <w:rFonts w:hint="eastAsia" w:ascii="方正仿宋_GBK" w:hAnsi="仿宋_GB2312" w:eastAsia="方正仿宋_GBK" w:cs="仿宋_GB2312"/>
          <w:b/>
          <w:bCs/>
          <w:sz w:val="32"/>
          <w:szCs w:val="32"/>
        </w:rPr>
        <w:t>哲学社会科学类参赛作品特等奖获奖选题</w:t>
      </w:r>
    </w:p>
    <w:p>
      <w:pPr>
        <w:tabs>
          <w:tab w:val="left" w:pos="3155"/>
        </w:tabs>
        <w:spacing w:line="560" w:lineRule="exact"/>
        <w:jc w:val="center"/>
        <w:rPr>
          <w:rFonts w:ascii="方正仿宋_GBK" w:hAnsi="方正小标宋简体" w:eastAsia="方正仿宋_GBK" w:cs="方正小标宋简体"/>
          <w:kern w:val="0"/>
          <w:sz w:val="32"/>
          <w:szCs w:val="32"/>
        </w:rPr>
      </w:pPr>
    </w:p>
    <w:p>
      <w:pPr>
        <w:tabs>
          <w:tab w:val="left" w:pos="3155"/>
        </w:tabs>
        <w:spacing w:line="560" w:lineRule="exact"/>
        <w:ind w:firstLine="640" w:firstLineChars="200"/>
        <w:rPr>
          <w:rFonts w:ascii="方正仿宋_GBK" w:hAnsi="方正小标宋简体" w:eastAsia="方正仿宋_GBK" w:cs="方正小标宋简体"/>
          <w:kern w:val="0"/>
          <w:sz w:val="32"/>
          <w:szCs w:val="32"/>
        </w:rPr>
      </w:pPr>
      <w:r>
        <w:rPr>
          <w:rFonts w:hint="eastAsia" w:ascii="方正仿宋_GBK" w:hAnsi="方正小标宋简体" w:eastAsia="方正仿宋_GBK" w:cs="方正小标宋简体"/>
          <w:kern w:val="0"/>
          <w:sz w:val="32"/>
          <w:szCs w:val="32"/>
        </w:rPr>
        <w:t>1. 全国视野下的商事制度改革—基于市场主体的调查研究</w:t>
      </w:r>
    </w:p>
    <w:p>
      <w:pPr>
        <w:tabs>
          <w:tab w:val="left" w:pos="3155"/>
        </w:tabs>
        <w:spacing w:line="560" w:lineRule="exact"/>
        <w:ind w:firstLine="640" w:firstLineChars="200"/>
        <w:rPr>
          <w:rFonts w:ascii="方正仿宋_GBK" w:hAnsi="方正小标宋简体" w:eastAsia="方正仿宋_GBK" w:cs="方正小标宋简体"/>
          <w:kern w:val="0"/>
          <w:sz w:val="32"/>
          <w:szCs w:val="32"/>
        </w:rPr>
      </w:pPr>
      <w:r>
        <w:rPr>
          <w:rFonts w:hint="eastAsia" w:ascii="方正仿宋_GBK" w:hAnsi="方正小标宋简体" w:eastAsia="方正仿宋_GBK" w:cs="方正小标宋简体"/>
          <w:kern w:val="0"/>
          <w:sz w:val="32"/>
          <w:szCs w:val="32"/>
        </w:rPr>
        <w:t>2. 内地高校港澳生国家认同的三因素机制及政策启示</w:t>
      </w:r>
    </w:p>
    <w:p>
      <w:pPr>
        <w:tabs>
          <w:tab w:val="left" w:pos="3155"/>
        </w:tabs>
        <w:spacing w:line="560" w:lineRule="exact"/>
        <w:ind w:firstLine="640" w:firstLineChars="200"/>
        <w:rPr>
          <w:rFonts w:ascii="方正仿宋_GBK" w:hAnsi="方正小标宋简体" w:eastAsia="方正仿宋_GBK" w:cs="方正小标宋简体"/>
          <w:kern w:val="0"/>
          <w:sz w:val="32"/>
          <w:szCs w:val="32"/>
        </w:rPr>
      </w:pPr>
      <w:r>
        <w:rPr>
          <w:rFonts w:hint="eastAsia" w:ascii="方正仿宋_GBK" w:hAnsi="方正小标宋简体" w:eastAsia="方正仿宋_GBK" w:cs="方正小标宋简体"/>
          <w:kern w:val="0"/>
          <w:sz w:val="32"/>
          <w:szCs w:val="32"/>
        </w:rPr>
        <w:t>3. 乡镇特色风貌营建的社会治理机制研究——基于广东省3镇12村的田野调查</w:t>
      </w:r>
    </w:p>
    <w:p>
      <w:pPr>
        <w:tabs>
          <w:tab w:val="left" w:pos="3155"/>
        </w:tabs>
        <w:spacing w:line="560" w:lineRule="exact"/>
        <w:ind w:firstLine="640" w:firstLineChars="200"/>
        <w:rPr>
          <w:rFonts w:ascii="方正仿宋_GBK" w:hAnsi="方正小标宋简体" w:eastAsia="方正仿宋_GBK" w:cs="方正小标宋简体"/>
          <w:kern w:val="0"/>
          <w:sz w:val="32"/>
          <w:szCs w:val="32"/>
        </w:rPr>
      </w:pPr>
      <w:r>
        <w:rPr>
          <w:rFonts w:hint="eastAsia" w:ascii="方正仿宋_GBK" w:hAnsi="方正小标宋简体" w:eastAsia="方正仿宋_GBK" w:cs="方正小标宋简体"/>
          <w:kern w:val="0"/>
          <w:sz w:val="32"/>
          <w:szCs w:val="32"/>
        </w:rPr>
        <w:t>4. 财政精准扶贫：空间绩效与政策改进--基于“广东扶贫云”大数据分析及15市县24镇32贫困村的实地调研</w:t>
      </w:r>
    </w:p>
    <w:p>
      <w:pPr>
        <w:tabs>
          <w:tab w:val="left" w:pos="3155"/>
        </w:tabs>
        <w:spacing w:line="560" w:lineRule="exact"/>
        <w:ind w:firstLine="640" w:firstLineChars="200"/>
        <w:rPr>
          <w:rFonts w:ascii="方正仿宋_GBK" w:hAnsi="方正小标宋简体" w:eastAsia="方正仿宋_GBK" w:cs="方正小标宋简体"/>
          <w:kern w:val="0"/>
          <w:sz w:val="32"/>
          <w:szCs w:val="32"/>
        </w:rPr>
      </w:pPr>
      <w:r>
        <w:rPr>
          <w:rFonts w:hint="eastAsia" w:ascii="方正仿宋_GBK" w:hAnsi="方正小标宋简体" w:eastAsia="方正仿宋_GBK" w:cs="方正小标宋简体"/>
          <w:kern w:val="0"/>
          <w:sz w:val="32"/>
          <w:szCs w:val="32"/>
        </w:rPr>
        <w:t>5. 乡村振兴战略背景下中国农民的农地情怀与期待——基于8432位农民对家庭联产承包责任制的政策感知</w:t>
      </w:r>
    </w:p>
    <w:p>
      <w:pPr>
        <w:tabs>
          <w:tab w:val="left" w:pos="3155"/>
        </w:tabs>
        <w:spacing w:line="560" w:lineRule="exact"/>
        <w:ind w:firstLine="640" w:firstLineChars="200"/>
        <w:rPr>
          <w:rFonts w:ascii="方正仿宋_GBK" w:hAnsi="方正小标宋简体" w:eastAsia="方正仿宋_GBK" w:cs="方正小标宋简体"/>
          <w:kern w:val="0"/>
          <w:sz w:val="32"/>
          <w:szCs w:val="32"/>
        </w:rPr>
      </w:pPr>
      <w:r>
        <w:rPr>
          <w:rFonts w:hint="eastAsia" w:ascii="方正仿宋_GBK" w:hAnsi="方正小标宋简体" w:eastAsia="方正仿宋_GBK" w:cs="方正小标宋简体"/>
          <w:kern w:val="0"/>
          <w:sz w:val="32"/>
          <w:szCs w:val="32"/>
        </w:rPr>
        <w:t>6. 走在脱贫攻坚和乡村振兴的转向之际：基于广东省103个村1159位村民的旅游扶贫调查</w:t>
      </w:r>
    </w:p>
    <w:p>
      <w:pPr>
        <w:tabs>
          <w:tab w:val="left" w:pos="3155"/>
        </w:tabs>
        <w:spacing w:line="560" w:lineRule="exact"/>
        <w:ind w:firstLine="640" w:firstLineChars="200"/>
        <w:rPr>
          <w:rFonts w:ascii="方正仿宋_GBK" w:hAnsi="方正小标宋简体" w:eastAsia="方正仿宋_GBK" w:cs="方正小标宋简体"/>
          <w:kern w:val="0"/>
          <w:sz w:val="32"/>
          <w:szCs w:val="32"/>
        </w:rPr>
      </w:pPr>
      <w:r>
        <w:rPr>
          <w:rFonts w:hint="eastAsia" w:ascii="方正仿宋_GBK" w:hAnsi="方正小标宋简体" w:eastAsia="方正仿宋_GBK" w:cs="方正小标宋简体"/>
          <w:kern w:val="0"/>
          <w:sz w:val="32"/>
          <w:szCs w:val="32"/>
        </w:rPr>
        <w:t>7. 品牌价值提升视角下我国产业扶贫对策研究——基于全国300余村落6320份问卷的调研分析</w:t>
      </w:r>
    </w:p>
    <w:p>
      <w:pPr>
        <w:tabs>
          <w:tab w:val="left" w:pos="3155"/>
        </w:tabs>
        <w:spacing w:line="560" w:lineRule="exact"/>
        <w:ind w:firstLine="640" w:firstLineChars="200"/>
        <w:rPr>
          <w:rFonts w:ascii="方正仿宋_GBK" w:hAnsi="方正小标宋简体" w:eastAsia="方正仿宋_GBK" w:cs="方正小标宋简体"/>
          <w:kern w:val="0"/>
          <w:sz w:val="32"/>
          <w:szCs w:val="32"/>
        </w:rPr>
      </w:pPr>
      <w:r>
        <w:rPr>
          <w:rFonts w:hint="eastAsia" w:ascii="方正仿宋_GBK" w:hAnsi="方正小标宋简体" w:eastAsia="方正仿宋_GBK" w:cs="方正小标宋简体"/>
          <w:kern w:val="0"/>
          <w:sz w:val="32"/>
          <w:szCs w:val="32"/>
        </w:rPr>
        <w:t>8. 运动作剑，弃毒前行--基于广东省11228名戒毒人员体质调查的运动处方设计与效果跟踪</w:t>
      </w:r>
    </w:p>
    <w:p>
      <w:pPr>
        <w:tabs>
          <w:tab w:val="left" w:pos="3155"/>
        </w:tabs>
        <w:spacing w:line="560" w:lineRule="exact"/>
        <w:ind w:firstLine="640" w:firstLineChars="200"/>
        <w:rPr>
          <w:rFonts w:ascii="方正仿宋_GBK" w:hAnsi="方正小标宋简体" w:eastAsia="方正仿宋_GBK" w:cs="方正小标宋简体"/>
          <w:kern w:val="0"/>
          <w:sz w:val="32"/>
          <w:szCs w:val="32"/>
        </w:rPr>
      </w:pPr>
      <w:r>
        <w:rPr>
          <w:rFonts w:hint="eastAsia" w:ascii="方正仿宋_GBK" w:hAnsi="方正小标宋简体" w:eastAsia="方正仿宋_GBK" w:cs="方正小标宋简体"/>
          <w:kern w:val="0"/>
          <w:sz w:val="32"/>
          <w:szCs w:val="32"/>
        </w:rPr>
        <w:t>9. 互联网时代传统制造业的变革调查报告--以化工业为例</w:t>
      </w:r>
    </w:p>
    <w:p>
      <w:pPr>
        <w:tabs>
          <w:tab w:val="left" w:pos="3155"/>
        </w:tabs>
        <w:spacing w:line="560" w:lineRule="exact"/>
        <w:ind w:firstLine="640" w:firstLineChars="200"/>
        <w:rPr>
          <w:rFonts w:ascii="方正仿宋_GBK" w:hAnsi="方正小标宋简体" w:eastAsia="方正仿宋_GBK" w:cs="方正小标宋简体"/>
          <w:kern w:val="0"/>
          <w:sz w:val="32"/>
          <w:szCs w:val="32"/>
        </w:rPr>
      </w:pPr>
      <w:r>
        <w:rPr>
          <w:rFonts w:hint="eastAsia" w:ascii="方正仿宋_GBK" w:hAnsi="方正小标宋简体" w:eastAsia="方正仿宋_GBK" w:cs="方正小标宋简体"/>
          <w:kern w:val="0"/>
          <w:sz w:val="32"/>
          <w:szCs w:val="32"/>
        </w:rPr>
        <w:t>10. 原真性视觉下岭南乞巧民俗文化的传承状态-基于广州珠村的调查研究</w:t>
      </w:r>
    </w:p>
    <w:p>
      <w:pPr>
        <w:tabs>
          <w:tab w:val="left" w:pos="3155"/>
        </w:tabs>
        <w:spacing w:line="560" w:lineRule="exact"/>
        <w:ind w:firstLine="640" w:firstLineChars="200"/>
        <w:rPr>
          <w:rFonts w:ascii="方正仿宋_GBK" w:hAnsi="方正小标宋简体" w:eastAsia="方正仿宋_GBK" w:cs="方正小标宋简体"/>
          <w:kern w:val="0"/>
          <w:sz w:val="32"/>
          <w:szCs w:val="32"/>
        </w:rPr>
      </w:pPr>
      <w:r>
        <w:rPr>
          <w:rFonts w:hint="eastAsia" w:ascii="方正仿宋_GBK" w:hAnsi="方正小标宋简体" w:eastAsia="方正仿宋_GBK" w:cs="方正小标宋简体"/>
          <w:kern w:val="0"/>
          <w:sz w:val="32"/>
          <w:szCs w:val="32"/>
        </w:rPr>
        <w:t>11. 社会转型背景下关于手工技艺类非遗自我可持续性保护的研究--以佛山剪纸为例</w:t>
      </w:r>
    </w:p>
    <w:p>
      <w:pPr>
        <w:tabs>
          <w:tab w:val="left" w:pos="3155"/>
        </w:tabs>
        <w:spacing w:line="560" w:lineRule="exact"/>
        <w:ind w:firstLine="640" w:firstLineChars="200"/>
        <w:rPr>
          <w:rFonts w:ascii="方正仿宋_GBK" w:hAnsi="方正小标宋简体" w:eastAsia="方正仿宋_GBK" w:cs="方正小标宋简体"/>
          <w:kern w:val="0"/>
          <w:sz w:val="32"/>
          <w:szCs w:val="32"/>
        </w:rPr>
      </w:pPr>
      <w:r>
        <w:rPr>
          <w:rFonts w:hint="eastAsia" w:ascii="方正仿宋_GBK" w:hAnsi="方正小标宋简体" w:eastAsia="方正仿宋_GBK" w:cs="方正小标宋简体"/>
          <w:kern w:val="0"/>
          <w:sz w:val="32"/>
          <w:szCs w:val="32"/>
        </w:rPr>
        <w:t>12. 治水“政令堰塞湖”？--河长制在基层运行的困顿及反思</w:t>
      </w:r>
    </w:p>
    <w:p>
      <w:pPr>
        <w:tabs>
          <w:tab w:val="left" w:pos="3155"/>
        </w:tabs>
        <w:spacing w:line="560" w:lineRule="exact"/>
        <w:ind w:firstLine="640" w:firstLineChars="200"/>
        <w:rPr>
          <w:rFonts w:ascii="方正仿宋_GBK" w:hAnsi="方正小标宋简体" w:eastAsia="方正仿宋_GBK" w:cs="方正小标宋简体"/>
          <w:kern w:val="0"/>
          <w:sz w:val="32"/>
          <w:szCs w:val="32"/>
        </w:rPr>
      </w:pPr>
      <w:r>
        <w:rPr>
          <w:rFonts w:hint="eastAsia" w:ascii="方正仿宋_GBK" w:hAnsi="方正小标宋简体" w:eastAsia="方正仿宋_GBK" w:cs="方正小标宋简体"/>
          <w:kern w:val="0"/>
          <w:sz w:val="32"/>
          <w:szCs w:val="32"/>
        </w:rPr>
        <w:t>13. 农村教育贫困的文化根源与教育精准扶贫——基于粤西三村的田野调查</w:t>
      </w:r>
    </w:p>
    <w:p>
      <w:pPr>
        <w:tabs>
          <w:tab w:val="left" w:pos="3155"/>
        </w:tabs>
        <w:spacing w:line="560" w:lineRule="exact"/>
        <w:ind w:firstLine="640" w:firstLineChars="200"/>
        <w:rPr>
          <w:rFonts w:ascii="方正仿宋_GBK" w:hAnsi="方正小标宋简体" w:eastAsia="方正仿宋_GBK" w:cs="方正小标宋简体"/>
          <w:kern w:val="0"/>
          <w:sz w:val="32"/>
          <w:szCs w:val="32"/>
        </w:rPr>
      </w:pPr>
      <w:r>
        <w:rPr>
          <w:rFonts w:hint="eastAsia" w:ascii="方正仿宋_GBK" w:hAnsi="方正小标宋简体" w:eastAsia="方正仿宋_GBK" w:cs="方正小标宋简体"/>
          <w:kern w:val="0"/>
          <w:sz w:val="32"/>
          <w:szCs w:val="32"/>
        </w:rPr>
        <w:t>14. 三尺讲台的幸福寻踪--基于粤东X贫困县中小学教师职业幸福感的调查研究</w:t>
      </w:r>
    </w:p>
    <w:p>
      <w:pPr>
        <w:tabs>
          <w:tab w:val="left" w:pos="3155"/>
        </w:tabs>
        <w:spacing w:line="560" w:lineRule="exact"/>
        <w:ind w:firstLine="640" w:firstLineChars="200"/>
        <w:rPr>
          <w:rFonts w:ascii="方正仿宋_GBK" w:hAnsi="方正小标宋简体" w:eastAsia="方正仿宋_GBK" w:cs="方正小标宋简体"/>
          <w:kern w:val="0"/>
          <w:sz w:val="32"/>
          <w:szCs w:val="32"/>
        </w:rPr>
      </w:pPr>
      <w:r>
        <w:rPr>
          <w:rFonts w:hint="eastAsia" w:ascii="方正仿宋_GBK" w:hAnsi="方正小标宋简体" w:eastAsia="方正仿宋_GBK" w:cs="方正小标宋简体"/>
          <w:kern w:val="0"/>
          <w:sz w:val="32"/>
          <w:szCs w:val="32"/>
        </w:rPr>
        <w:t>15. 粤港澳大湾区跨境空间的形成及其影响因素研究——以深圳市蛇口片区为例</w:t>
      </w:r>
    </w:p>
    <w:p>
      <w:pPr>
        <w:tabs>
          <w:tab w:val="left" w:pos="3155"/>
        </w:tabs>
        <w:spacing w:line="560" w:lineRule="exact"/>
        <w:ind w:firstLine="640" w:firstLineChars="200"/>
        <w:rPr>
          <w:rFonts w:ascii="方正仿宋_GBK" w:hAnsi="方正小标宋简体" w:eastAsia="方正仿宋_GBK" w:cs="方正小标宋简体"/>
          <w:kern w:val="0"/>
          <w:sz w:val="32"/>
          <w:szCs w:val="32"/>
        </w:rPr>
      </w:pPr>
      <w:r>
        <w:rPr>
          <w:rFonts w:hint="eastAsia" w:ascii="方正仿宋_GBK" w:hAnsi="方正小标宋简体" w:eastAsia="方正仿宋_GBK" w:cs="方正小标宋简体"/>
          <w:kern w:val="0"/>
          <w:sz w:val="32"/>
          <w:szCs w:val="32"/>
        </w:rPr>
        <w:t>16. 官方微信公众号对校园文化传播及高校形象构建的影响研究 --以全国50所高校官微为例</w:t>
      </w:r>
    </w:p>
    <w:p>
      <w:pPr>
        <w:tabs>
          <w:tab w:val="left" w:pos="3155"/>
        </w:tabs>
        <w:spacing w:line="560" w:lineRule="exact"/>
        <w:ind w:firstLine="640" w:firstLineChars="200"/>
        <w:rPr>
          <w:rFonts w:ascii="方正仿宋_GBK" w:hAnsi="方正小标宋简体" w:eastAsia="方正仿宋_GBK" w:cs="方正小标宋简体"/>
          <w:kern w:val="0"/>
          <w:sz w:val="32"/>
          <w:szCs w:val="32"/>
        </w:rPr>
      </w:pPr>
      <w:r>
        <w:rPr>
          <w:rFonts w:hint="eastAsia" w:ascii="方正仿宋_GBK" w:hAnsi="方正小标宋简体" w:eastAsia="方正仿宋_GBK" w:cs="方正小标宋简体"/>
          <w:kern w:val="0"/>
          <w:sz w:val="32"/>
          <w:szCs w:val="32"/>
        </w:rPr>
        <w:t>17. 欠发达地区毒品问题治理的路径探索--基于广东省陆丰市的调查</w:t>
      </w:r>
    </w:p>
    <w:p>
      <w:pPr>
        <w:tabs>
          <w:tab w:val="left" w:pos="3155"/>
        </w:tabs>
        <w:spacing w:line="560" w:lineRule="exact"/>
        <w:ind w:firstLine="640" w:firstLineChars="200"/>
        <w:rPr>
          <w:rFonts w:ascii="方正仿宋_GBK" w:hAnsi="方正小标宋简体" w:eastAsia="方正仿宋_GBK" w:cs="方正小标宋简体"/>
          <w:kern w:val="0"/>
          <w:sz w:val="32"/>
          <w:szCs w:val="32"/>
        </w:rPr>
      </w:pPr>
      <w:r>
        <w:rPr>
          <w:rFonts w:hint="eastAsia" w:ascii="方正仿宋_GBK" w:hAnsi="方正小标宋简体" w:eastAsia="方正仿宋_GBK" w:cs="方正小标宋简体"/>
          <w:kern w:val="0"/>
          <w:sz w:val="32"/>
          <w:szCs w:val="32"/>
        </w:rPr>
        <w:t>18. 文化复兴视角下岭南乡村民居的价值探索与风貌重塑研究——基于对潮汕传统村落的调研</w:t>
      </w:r>
    </w:p>
    <w:p>
      <w:pPr>
        <w:tabs>
          <w:tab w:val="left" w:pos="3155"/>
        </w:tabs>
        <w:spacing w:line="560" w:lineRule="exact"/>
        <w:ind w:firstLine="640" w:firstLineChars="200"/>
        <w:rPr>
          <w:rFonts w:ascii="方正仿宋_GBK" w:hAnsi="方正小标宋简体" w:eastAsia="方正仿宋_GBK" w:cs="方正小标宋简体"/>
          <w:kern w:val="0"/>
          <w:sz w:val="32"/>
          <w:szCs w:val="32"/>
        </w:rPr>
      </w:pPr>
      <w:r>
        <w:rPr>
          <w:rFonts w:hint="eastAsia" w:ascii="方正仿宋_GBK" w:hAnsi="方正小标宋简体" w:eastAsia="方正仿宋_GBK" w:cs="方正小标宋简体"/>
          <w:kern w:val="0"/>
          <w:sz w:val="32"/>
          <w:szCs w:val="32"/>
        </w:rPr>
        <w:t>19. 广州新河浦历史文化街区文化保育研究</w:t>
      </w:r>
    </w:p>
    <w:p>
      <w:pPr>
        <w:tabs>
          <w:tab w:val="left" w:pos="3155"/>
        </w:tabs>
        <w:spacing w:line="560" w:lineRule="exact"/>
        <w:ind w:firstLine="640" w:firstLineChars="200"/>
        <w:rPr>
          <w:rFonts w:ascii="方正仿宋_GBK" w:hAnsi="方正小标宋简体" w:eastAsia="方正仿宋_GBK" w:cs="方正小标宋简体"/>
          <w:kern w:val="0"/>
          <w:sz w:val="32"/>
          <w:szCs w:val="32"/>
        </w:rPr>
      </w:pPr>
      <w:r>
        <w:rPr>
          <w:rFonts w:hint="eastAsia" w:ascii="方正仿宋_GBK" w:hAnsi="方正小标宋简体" w:eastAsia="方正仿宋_GBK" w:cs="方正小标宋简体"/>
          <w:kern w:val="0"/>
          <w:sz w:val="32"/>
          <w:szCs w:val="32"/>
        </w:rPr>
        <w:t>20. 基于岗位胜任力的临床医生成长质量全程追踪评价体系</w:t>
      </w:r>
    </w:p>
    <w:p>
      <w:pPr>
        <w:tabs>
          <w:tab w:val="left" w:pos="3155"/>
        </w:tabs>
        <w:spacing w:line="560" w:lineRule="exact"/>
        <w:ind w:firstLine="640" w:firstLineChars="200"/>
        <w:rPr>
          <w:rFonts w:ascii="方正仿宋_GBK" w:hAnsi="方正小标宋简体" w:eastAsia="方正仿宋_GBK" w:cs="方正小标宋简体"/>
          <w:kern w:val="0"/>
          <w:sz w:val="32"/>
          <w:szCs w:val="32"/>
        </w:rPr>
      </w:pPr>
      <w:r>
        <w:rPr>
          <w:rFonts w:hint="eastAsia" w:ascii="方正仿宋_GBK" w:hAnsi="方正小标宋简体" w:eastAsia="方正仿宋_GBK" w:cs="方正小标宋简体"/>
          <w:kern w:val="0"/>
          <w:sz w:val="32"/>
          <w:szCs w:val="32"/>
        </w:rPr>
        <w:t>21. 农村“垫资—第三方评估—划拨”精准扶贫模式及其绩效研究——以中部H省S县“六改一增”为例</w:t>
      </w:r>
    </w:p>
    <w:p>
      <w:pPr>
        <w:tabs>
          <w:tab w:val="left" w:pos="3155"/>
        </w:tabs>
        <w:spacing w:line="560" w:lineRule="exact"/>
        <w:ind w:firstLine="640" w:firstLineChars="200"/>
        <w:rPr>
          <w:rFonts w:ascii="方正仿宋_GBK" w:hAnsi="方正小标宋简体" w:eastAsia="方正仿宋_GBK" w:cs="方正小标宋简体"/>
          <w:kern w:val="0"/>
          <w:sz w:val="32"/>
          <w:szCs w:val="32"/>
        </w:rPr>
      </w:pPr>
      <w:r>
        <w:rPr>
          <w:rFonts w:hint="eastAsia" w:ascii="方正仿宋_GBK" w:hAnsi="方正小标宋简体" w:eastAsia="方正仿宋_GBK" w:cs="方正小标宋简体"/>
          <w:kern w:val="0"/>
          <w:sz w:val="32"/>
          <w:szCs w:val="32"/>
        </w:rPr>
        <w:t>22. “互联网+”时代下知识付费平台竞争力评价指标体系的构建及实证研究</w:t>
      </w:r>
    </w:p>
    <w:p>
      <w:pPr>
        <w:tabs>
          <w:tab w:val="left" w:pos="3155"/>
        </w:tabs>
        <w:spacing w:line="560" w:lineRule="exact"/>
        <w:ind w:firstLine="640" w:firstLineChars="200"/>
        <w:rPr>
          <w:rFonts w:ascii="方正仿宋_GBK" w:hAnsi="方正小标宋简体" w:eastAsia="方正仿宋_GBK" w:cs="方正小标宋简体"/>
          <w:kern w:val="0"/>
          <w:sz w:val="32"/>
          <w:szCs w:val="32"/>
        </w:rPr>
      </w:pPr>
      <w:r>
        <w:rPr>
          <w:rFonts w:hint="eastAsia" w:ascii="方正仿宋_GBK" w:hAnsi="方正小标宋简体" w:eastAsia="方正仿宋_GBK" w:cs="方正小标宋简体"/>
          <w:kern w:val="0"/>
          <w:sz w:val="32"/>
          <w:szCs w:val="32"/>
        </w:rPr>
        <w:t>23. 法律赋能新时代大学生创新创业——基于广东大学生双创现状的实证分析与应用研究</w:t>
      </w:r>
    </w:p>
    <w:p>
      <w:pPr>
        <w:tabs>
          <w:tab w:val="left" w:pos="3155"/>
        </w:tabs>
        <w:spacing w:line="560" w:lineRule="exact"/>
        <w:ind w:firstLine="640" w:firstLineChars="200"/>
        <w:rPr>
          <w:rFonts w:ascii="方正仿宋_GBK" w:hAnsi="方正小标宋简体" w:eastAsia="方正仿宋_GBK" w:cs="方正小标宋简体"/>
          <w:kern w:val="0"/>
          <w:sz w:val="32"/>
          <w:szCs w:val="32"/>
        </w:rPr>
      </w:pPr>
      <w:r>
        <w:rPr>
          <w:rFonts w:hint="eastAsia" w:ascii="方正仿宋_GBK" w:hAnsi="方正小标宋简体" w:eastAsia="方正仿宋_GBK" w:cs="方正小标宋简体"/>
          <w:kern w:val="0"/>
          <w:sz w:val="32"/>
          <w:szCs w:val="32"/>
        </w:rPr>
        <w:t>24. 在线餐饮外卖如何“利民”又“利国”——广州外卖行业引发的社会问题调查及对策研究</w:t>
      </w:r>
    </w:p>
    <w:p>
      <w:pPr>
        <w:tabs>
          <w:tab w:val="left" w:pos="3155"/>
        </w:tabs>
        <w:spacing w:line="560" w:lineRule="exact"/>
        <w:ind w:firstLine="640" w:firstLineChars="200"/>
        <w:rPr>
          <w:rFonts w:ascii="方正仿宋_GBK" w:hAnsi="方正小标宋简体" w:eastAsia="方正仿宋_GBK" w:cs="方正小标宋简体"/>
          <w:kern w:val="0"/>
          <w:sz w:val="32"/>
          <w:szCs w:val="32"/>
        </w:rPr>
      </w:pPr>
      <w:r>
        <w:rPr>
          <w:rFonts w:hint="eastAsia" w:ascii="方正仿宋_GBK" w:hAnsi="方正小标宋简体" w:eastAsia="方正仿宋_GBK" w:cs="方正小标宋简体"/>
          <w:kern w:val="0"/>
          <w:sz w:val="32"/>
          <w:szCs w:val="32"/>
        </w:rPr>
        <w:t>25. 《乡村振兴视域下惠州周田村四大文化旅游资源的整合与开发--来自叶挺家乡的报告》</w:t>
      </w:r>
    </w:p>
    <w:p>
      <w:pPr>
        <w:tabs>
          <w:tab w:val="left" w:pos="3155"/>
        </w:tabs>
        <w:spacing w:line="560" w:lineRule="exact"/>
        <w:ind w:firstLine="640" w:firstLineChars="200"/>
        <w:rPr>
          <w:rFonts w:ascii="方正仿宋_GBK" w:hAnsi="方正小标宋简体" w:eastAsia="方正仿宋_GBK" w:cs="方正小标宋简体"/>
          <w:kern w:val="0"/>
          <w:sz w:val="32"/>
          <w:szCs w:val="32"/>
        </w:rPr>
      </w:pPr>
      <w:r>
        <w:rPr>
          <w:rFonts w:hint="eastAsia" w:ascii="方正仿宋_GBK" w:hAnsi="方正小标宋简体" w:eastAsia="方正仿宋_GBK" w:cs="方正小标宋简体"/>
          <w:kern w:val="0"/>
          <w:sz w:val="32"/>
          <w:szCs w:val="32"/>
        </w:rPr>
        <w:t>26. 申遗十年喜共忧,同寻粤剧源与流——粤港澳大湾区视野下的粤剧传承与传播</w:t>
      </w:r>
    </w:p>
    <w:p>
      <w:pPr>
        <w:tabs>
          <w:tab w:val="left" w:pos="3155"/>
        </w:tabs>
        <w:spacing w:line="560" w:lineRule="exact"/>
        <w:ind w:firstLine="640" w:firstLineChars="200"/>
        <w:rPr>
          <w:rFonts w:ascii="方正仿宋_GBK" w:hAnsi="方正小标宋简体" w:eastAsia="方正仿宋_GBK" w:cs="方正小标宋简体"/>
          <w:kern w:val="0"/>
          <w:sz w:val="32"/>
          <w:szCs w:val="32"/>
        </w:rPr>
      </w:pPr>
      <w:r>
        <w:rPr>
          <w:rFonts w:hint="eastAsia" w:ascii="方正仿宋_GBK" w:hAnsi="方正小标宋简体" w:eastAsia="方正仿宋_GBK" w:cs="方正小标宋简体"/>
          <w:kern w:val="0"/>
          <w:sz w:val="32"/>
          <w:szCs w:val="32"/>
        </w:rPr>
        <w:t>27. 让社区为“居家养老服务”撑起幸福伞——广州市居家养老服务社区支持现状与创新研究</w:t>
      </w:r>
    </w:p>
    <w:p>
      <w:pPr>
        <w:tabs>
          <w:tab w:val="left" w:pos="3155"/>
        </w:tabs>
        <w:spacing w:line="560" w:lineRule="exact"/>
        <w:ind w:firstLine="640" w:firstLineChars="200"/>
        <w:rPr>
          <w:rFonts w:ascii="方正仿宋_GBK" w:hAnsi="方正小标宋简体" w:eastAsia="方正仿宋_GBK" w:cs="方正小标宋简体"/>
          <w:kern w:val="0"/>
          <w:sz w:val="32"/>
          <w:szCs w:val="32"/>
        </w:rPr>
      </w:pPr>
      <w:r>
        <w:rPr>
          <w:rFonts w:hint="eastAsia" w:ascii="方正仿宋_GBK" w:hAnsi="方正小标宋简体" w:eastAsia="方正仿宋_GBK" w:cs="方正小标宋简体"/>
          <w:kern w:val="0"/>
          <w:sz w:val="32"/>
          <w:szCs w:val="32"/>
        </w:rPr>
        <w:t>28. 乡村振兴战略背景下以教育信息化促进城乡教育优质均衡发展的实践路径研究——以湛江市为例</w:t>
      </w:r>
    </w:p>
    <w:p>
      <w:pPr>
        <w:tabs>
          <w:tab w:val="left" w:pos="3155"/>
        </w:tabs>
        <w:spacing w:line="560" w:lineRule="exact"/>
        <w:ind w:firstLine="640" w:firstLineChars="200"/>
        <w:rPr>
          <w:rFonts w:ascii="方正仿宋_GBK" w:hAnsi="方正小标宋简体" w:eastAsia="方正仿宋_GBK" w:cs="方正小标宋简体"/>
          <w:kern w:val="0"/>
          <w:sz w:val="32"/>
          <w:szCs w:val="32"/>
        </w:rPr>
      </w:pPr>
      <w:r>
        <w:rPr>
          <w:rFonts w:hint="eastAsia" w:ascii="方正仿宋_GBK" w:hAnsi="方正小标宋简体" w:eastAsia="方正仿宋_GBK" w:cs="方正小标宋简体"/>
          <w:kern w:val="0"/>
          <w:sz w:val="32"/>
          <w:szCs w:val="32"/>
        </w:rPr>
        <w:t>29. 精准扶贫下广东省贫困人口获得感调查研究</w:t>
      </w:r>
    </w:p>
    <w:p>
      <w:pPr>
        <w:tabs>
          <w:tab w:val="left" w:pos="3155"/>
        </w:tabs>
        <w:spacing w:line="560" w:lineRule="exact"/>
        <w:ind w:firstLine="640" w:firstLineChars="200"/>
        <w:rPr>
          <w:rFonts w:ascii="方正仿宋_GBK" w:hAnsi="方正小标宋简体" w:eastAsia="方正仿宋_GBK" w:cs="方正小标宋简体"/>
          <w:kern w:val="0"/>
          <w:sz w:val="32"/>
          <w:szCs w:val="32"/>
        </w:rPr>
      </w:pPr>
      <w:r>
        <w:rPr>
          <w:rFonts w:hint="eastAsia" w:ascii="方正仿宋_GBK" w:hAnsi="方正小标宋简体" w:eastAsia="方正仿宋_GBK" w:cs="方正小标宋简体"/>
          <w:kern w:val="0"/>
          <w:sz w:val="32"/>
          <w:szCs w:val="32"/>
        </w:rPr>
        <w:t>30. 打开心灵窗户，共浴明媚阳光——特殊群体生命故事研究</w:t>
      </w:r>
    </w:p>
    <w:p>
      <w:pPr>
        <w:tabs>
          <w:tab w:val="left" w:pos="3155"/>
        </w:tabs>
        <w:spacing w:line="560" w:lineRule="exact"/>
        <w:ind w:firstLine="640" w:firstLineChars="200"/>
        <w:rPr>
          <w:rFonts w:ascii="方正仿宋_GBK" w:hAnsi="方正小标宋简体" w:eastAsia="方正仿宋_GBK" w:cs="方正小标宋简体"/>
          <w:kern w:val="0"/>
          <w:sz w:val="32"/>
          <w:szCs w:val="32"/>
        </w:rPr>
      </w:pPr>
      <w:r>
        <w:rPr>
          <w:rFonts w:hint="eastAsia" w:ascii="方正仿宋_GBK" w:hAnsi="方正小标宋简体" w:eastAsia="方正仿宋_GBK" w:cs="方正小标宋简体"/>
          <w:kern w:val="0"/>
          <w:sz w:val="32"/>
          <w:szCs w:val="32"/>
        </w:rPr>
        <w:t>31. 基于归因理论的大学生责任意识影响机制实证研究--大学生责任意识的维度结构及其差异分析</w:t>
      </w:r>
    </w:p>
    <w:p>
      <w:pPr>
        <w:tabs>
          <w:tab w:val="left" w:pos="3155"/>
        </w:tabs>
        <w:spacing w:line="560" w:lineRule="exact"/>
        <w:ind w:firstLine="640" w:firstLineChars="200"/>
        <w:rPr>
          <w:rFonts w:ascii="方正仿宋_GBK" w:hAnsi="方正小标宋简体" w:eastAsia="方正仿宋_GBK" w:cs="方正小标宋简体"/>
          <w:kern w:val="0"/>
          <w:sz w:val="32"/>
          <w:szCs w:val="32"/>
        </w:rPr>
      </w:pPr>
      <w:r>
        <w:rPr>
          <w:rFonts w:hint="eastAsia" w:ascii="方正仿宋_GBK" w:hAnsi="方正小标宋简体" w:eastAsia="方正仿宋_GBK" w:cs="方正小标宋简体"/>
          <w:kern w:val="0"/>
          <w:sz w:val="32"/>
          <w:szCs w:val="32"/>
        </w:rPr>
        <w:t>32. 以博物馆为载体的山区短期支教新模式探索</w:t>
      </w:r>
    </w:p>
    <w:p>
      <w:pPr>
        <w:tabs>
          <w:tab w:val="left" w:pos="3155"/>
        </w:tabs>
        <w:spacing w:line="560" w:lineRule="exact"/>
        <w:ind w:firstLine="640" w:firstLineChars="200"/>
        <w:rPr>
          <w:rFonts w:ascii="方正仿宋_GBK" w:hAnsi="方正小标宋简体" w:eastAsia="方正仿宋_GBK" w:cs="方正小标宋简体"/>
          <w:kern w:val="0"/>
          <w:sz w:val="32"/>
          <w:szCs w:val="32"/>
        </w:rPr>
      </w:pPr>
      <w:r>
        <w:rPr>
          <w:rFonts w:hint="eastAsia" w:ascii="方正仿宋_GBK" w:hAnsi="方正小标宋简体" w:eastAsia="方正仿宋_GBK" w:cs="方正小标宋简体"/>
          <w:kern w:val="0"/>
          <w:sz w:val="32"/>
          <w:szCs w:val="32"/>
        </w:rPr>
        <w:t>33. 乡村振兴背景下对农村承包地制度改革的探索——以佛山南海为例</w:t>
      </w:r>
    </w:p>
    <w:p>
      <w:pPr>
        <w:tabs>
          <w:tab w:val="left" w:pos="3155"/>
        </w:tabs>
        <w:spacing w:line="560" w:lineRule="exact"/>
        <w:ind w:firstLine="640" w:firstLineChars="200"/>
        <w:rPr>
          <w:rFonts w:ascii="方正仿宋_GBK" w:hAnsi="方正小标宋简体" w:eastAsia="方正仿宋_GBK" w:cs="方正小标宋简体"/>
          <w:kern w:val="0"/>
          <w:sz w:val="32"/>
          <w:szCs w:val="32"/>
        </w:rPr>
      </w:pPr>
      <w:r>
        <w:rPr>
          <w:rFonts w:hint="eastAsia" w:ascii="方正仿宋_GBK" w:hAnsi="方正小标宋简体" w:eastAsia="方正仿宋_GBK" w:cs="方正小标宋简体"/>
          <w:kern w:val="0"/>
          <w:sz w:val="32"/>
          <w:szCs w:val="32"/>
        </w:rPr>
        <w:t>34. 中小型民营制造业企业如何应对中美贸易摩擦挑战？——基于广东佛山家具行业的调查</w:t>
      </w:r>
    </w:p>
    <w:p>
      <w:pPr>
        <w:tabs>
          <w:tab w:val="left" w:pos="3155"/>
        </w:tabs>
        <w:spacing w:line="560" w:lineRule="exact"/>
        <w:ind w:firstLine="640" w:firstLineChars="200"/>
        <w:rPr>
          <w:rFonts w:ascii="方正仿宋_GBK" w:hAnsi="方正小标宋简体" w:eastAsia="方正仿宋_GBK" w:cs="方正小标宋简体"/>
          <w:kern w:val="0"/>
          <w:sz w:val="32"/>
          <w:szCs w:val="32"/>
        </w:rPr>
      </w:pPr>
      <w:r>
        <w:rPr>
          <w:rFonts w:hint="eastAsia" w:ascii="方正仿宋_GBK" w:hAnsi="方正小标宋简体" w:eastAsia="方正仿宋_GBK" w:cs="方正小标宋简体"/>
          <w:kern w:val="0"/>
          <w:sz w:val="32"/>
          <w:szCs w:val="32"/>
        </w:rPr>
        <w:t>35. 把紧“入口”民生，守护“舌尖”安全一一基于珠三角G市国家食品安全城市创建满意度调研</w:t>
      </w:r>
    </w:p>
    <w:p>
      <w:pPr>
        <w:tabs>
          <w:tab w:val="left" w:pos="3155"/>
        </w:tabs>
        <w:spacing w:line="560" w:lineRule="exact"/>
        <w:ind w:firstLine="640" w:firstLineChars="200"/>
        <w:rPr>
          <w:rFonts w:ascii="方正仿宋_GBK" w:hAnsi="方正小标宋简体" w:eastAsia="方正仿宋_GBK" w:cs="方正小标宋简体"/>
          <w:kern w:val="0"/>
          <w:sz w:val="32"/>
          <w:szCs w:val="32"/>
        </w:rPr>
      </w:pPr>
      <w:r>
        <w:rPr>
          <w:rFonts w:hint="eastAsia" w:ascii="方正仿宋_GBK" w:hAnsi="方正小标宋简体" w:eastAsia="方正仿宋_GBK" w:cs="方正小标宋简体"/>
          <w:kern w:val="0"/>
          <w:sz w:val="32"/>
          <w:szCs w:val="32"/>
        </w:rPr>
        <w:t>36. 信息化大赛下高职学生信息化学习满意度调查——基于广东十所高职院校的调研</w:t>
      </w:r>
    </w:p>
    <w:p>
      <w:pPr>
        <w:tabs>
          <w:tab w:val="left" w:pos="3155"/>
        </w:tabs>
        <w:spacing w:line="560" w:lineRule="exact"/>
        <w:ind w:firstLine="640" w:firstLineChars="200"/>
        <w:rPr>
          <w:rFonts w:ascii="方正仿宋_GBK" w:hAnsi="方正小标宋简体" w:eastAsia="方正仿宋_GBK" w:cs="方正小标宋简体"/>
          <w:kern w:val="0"/>
          <w:sz w:val="32"/>
          <w:szCs w:val="32"/>
        </w:rPr>
      </w:pPr>
      <w:r>
        <w:rPr>
          <w:rFonts w:hint="eastAsia" w:ascii="方正仿宋_GBK" w:hAnsi="方正小标宋简体" w:eastAsia="方正仿宋_GBK" w:cs="方正小标宋简体"/>
          <w:kern w:val="0"/>
          <w:sz w:val="32"/>
          <w:szCs w:val="32"/>
        </w:rPr>
        <w:t>37. 优秀家风家训涵养社会主义核心价值观 的现状调研和对策研究——基于广府地区2043个家庭的实证分析</w:t>
      </w:r>
    </w:p>
    <w:p>
      <w:pPr>
        <w:tabs>
          <w:tab w:val="left" w:pos="3155"/>
        </w:tabs>
        <w:spacing w:line="560" w:lineRule="exact"/>
        <w:ind w:firstLine="640" w:firstLineChars="200"/>
        <w:rPr>
          <w:rFonts w:ascii="方正仿宋_GBK" w:hAnsi="方正小标宋简体" w:eastAsia="方正仿宋_GBK" w:cs="方正小标宋简体"/>
          <w:kern w:val="0"/>
          <w:sz w:val="32"/>
          <w:szCs w:val="32"/>
        </w:rPr>
      </w:pPr>
      <w:r>
        <w:rPr>
          <w:rFonts w:hint="eastAsia" w:ascii="方正仿宋_GBK" w:hAnsi="方正小标宋简体" w:eastAsia="方正仿宋_GBK" w:cs="方正小标宋简体"/>
          <w:kern w:val="0"/>
          <w:sz w:val="32"/>
          <w:szCs w:val="32"/>
        </w:rPr>
        <w:t>38. 传承、弘扬、借鉴、创新--新时代大学生文化自信培养调查研究</w:t>
      </w:r>
    </w:p>
    <w:p>
      <w:pPr>
        <w:tabs>
          <w:tab w:val="left" w:pos="3155"/>
        </w:tabs>
        <w:spacing w:line="560" w:lineRule="exact"/>
        <w:ind w:firstLine="640" w:firstLineChars="200"/>
        <w:rPr>
          <w:rFonts w:ascii="方正仿宋_GBK" w:hAnsi="方正小标宋简体" w:eastAsia="方正仿宋_GBK" w:cs="方正小标宋简体"/>
          <w:kern w:val="0"/>
          <w:sz w:val="32"/>
          <w:szCs w:val="32"/>
        </w:rPr>
      </w:pPr>
      <w:r>
        <w:rPr>
          <w:rFonts w:hint="eastAsia" w:ascii="方正仿宋_GBK" w:hAnsi="方正小标宋简体" w:eastAsia="方正仿宋_GBK" w:cs="方正小标宋简体"/>
          <w:kern w:val="0"/>
          <w:sz w:val="32"/>
          <w:szCs w:val="32"/>
        </w:rPr>
        <w:t>39. 互联网+背景下镇安村电商扶贫现状及对策研究——基于181户村民的回访与调查</w:t>
      </w:r>
    </w:p>
    <w:p>
      <w:pPr>
        <w:tabs>
          <w:tab w:val="left" w:pos="3155"/>
        </w:tabs>
        <w:spacing w:line="560" w:lineRule="exact"/>
        <w:ind w:firstLine="640" w:firstLineChars="200"/>
        <w:rPr>
          <w:rFonts w:ascii="方正仿宋_GBK" w:hAnsi="方正小标宋简体" w:eastAsia="方正仿宋_GBK" w:cs="方正小标宋简体"/>
          <w:kern w:val="0"/>
          <w:sz w:val="32"/>
          <w:szCs w:val="32"/>
        </w:rPr>
      </w:pPr>
      <w:r>
        <w:rPr>
          <w:rFonts w:hint="eastAsia" w:ascii="方正仿宋_GBK" w:hAnsi="方正小标宋简体" w:eastAsia="方正仿宋_GBK" w:cs="方正小标宋简体"/>
          <w:kern w:val="0"/>
          <w:sz w:val="32"/>
          <w:szCs w:val="32"/>
        </w:rPr>
        <w:t>40. 关于大学生对“网红”现象认知情况的调研报告</w:t>
      </w:r>
    </w:p>
    <w:p>
      <w:pPr>
        <w:tabs>
          <w:tab w:val="left" w:pos="3155"/>
        </w:tabs>
        <w:spacing w:line="560" w:lineRule="exact"/>
        <w:ind w:firstLine="640" w:firstLineChars="200"/>
        <w:rPr>
          <w:rFonts w:ascii="方正仿宋_GBK" w:hAnsi="方正小标宋简体" w:eastAsia="方正仿宋_GBK" w:cs="方正小标宋简体"/>
          <w:kern w:val="0"/>
          <w:sz w:val="32"/>
          <w:szCs w:val="32"/>
        </w:rPr>
      </w:pPr>
      <w:r>
        <w:rPr>
          <w:rFonts w:hint="eastAsia" w:ascii="方正仿宋_GBK" w:hAnsi="方正小标宋简体" w:eastAsia="方正仿宋_GBK" w:cs="方正小标宋简体"/>
          <w:kern w:val="0"/>
          <w:sz w:val="32"/>
          <w:szCs w:val="32"/>
        </w:rPr>
        <w:t>41. 21世纪“海上丝绸之路”背景下国家级非物质文化遗产潮绣的发展现状及传播策略研究</w:t>
      </w:r>
    </w:p>
    <w:p>
      <w:pPr>
        <w:tabs>
          <w:tab w:val="left" w:pos="3155"/>
        </w:tabs>
        <w:spacing w:line="560" w:lineRule="exact"/>
        <w:ind w:firstLine="640" w:firstLineChars="200"/>
        <w:rPr>
          <w:rFonts w:ascii="方正仿宋_GBK" w:hAnsi="方正小标宋简体" w:eastAsia="方正仿宋_GBK" w:cs="方正小标宋简体"/>
          <w:kern w:val="0"/>
          <w:sz w:val="32"/>
          <w:szCs w:val="32"/>
        </w:rPr>
      </w:pPr>
      <w:r>
        <w:rPr>
          <w:rFonts w:hint="eastAsia" w:ascii="方正仿宋_GBK" w:hAnsi="方正小标宋简体" w:eastAsia="方正仿宋_GBK" w:cs="方正小标宋简体"/>
          <w:kern w:val="0"/>
          <w:sz w:val="32"/>
          <w:szCs w:val="32"/>
        </w:rPr>
        <w:t>42. 中山市医疗机构双向转诊制度的运行现状和影响因素的调研报告</w:t>
      </w:r>
    </w:p>
    <w:p>
      <w:pPr>
        <w:tabs>
          <w:tab w:val="left" w:pos="3155"/>
        </w:tabs>
        <w:spacing w:line="560" w:lineRule="exact"/>
        <w:ind w:firstLine="640" w:firstLineChars="200"/>
        <w:rPr>
          <w:rFonts w:ascii="方正仿宋_GBK" w:hAnsi="方正小标宋简体" w:eastAsia="方正仿宋_GBK" w:cs="方正小标宋简体"/>
          <w:kern w:val="0"/>
          <w:sz w:val="32"/>
          <w:szCs w:val="32"/>
        </w:rPr>
      </w:pPr>
      <w:r>
        <w:rPr>
          <w:rFonts w:hint="eastAsia" w:ascii="方正仿宋_GBK" w:hAnsi="方正小标宋简体" w:eastAsia="方正仿宋_GBK" w:cs="方正小标宋简体"/>
          <w:kern w:val="0"/>
          <w:sz w:val="32"/>
          <w:szCs w:val="32"/>
        </w:rPr>
        <w:t>43. 精准扶贫视角下高职院校贫困生心理分析及资助方式研究</w:t>
      </w:r>
    </w:p>
    <w:p>
      <w:pPr>
        <w:tabs>
          <w:tab w:val="left" w:pos="3155"/>
        </w:tabs>
        <w:spacing w:line="560" w:lineRule="exact"/>
        <w:ind w:firstLine="640" w:firstLineChars="200"/>
        <w:rPr>
          <w:rFonts w:ascii="方正仿宋_GBK" w:hAnsi="方正小标宋简体" w:eastAsia="方正仿宋_GBK" w:cs="方正小标宋简体"/>
          <w:kern w:val="0"/>
          <w:sz w:val="32"/>
          <w:szCs w:val="32"/>
        </w:rPr>
      </w:pPr>
      <w:r>
        <w:rPr>
          <w:rFonts w:hint="eastAsia" w:ascii="方正仿宋_GBK" w:hAnsi="方正小标宋简体" w:eastAsia="方正仿宋_GBK" w:cs="方正小标宋简体"/>
          <w:kern w:val="0"/>
          <w:sz w:val="32"/>
          <w:szCs w:val="32"/>
        </w:rPr>
        <w:t>43. 以Alkire-Foster多维贫困测度模型落实精准扶贫识别及帮扶对策研究</w:t>
      </w:r>
    </w:p>
    <w:p>
      <w:pPr>
        <w:tabs>
          <w:tab w:val="left" w:pos="3155"/>
        </w:tabs>
        <w:spacing w:line="560" w:lineRule="exact"/>
        <w:ind w:firstLine="640" w:firstLineChars="200"/>
        <w:rPr>
          <w:rFonts w:ascii="方正仿宋_GBK" w:hAnsi="方正小标宋简体" w:eastAsia="方正仿宋_GBK" w:cs="方正小标宋简体"/>
          <w:kern w:val="0"/>
          <w:sz w:val="32"/>
          <w:szCs w:val="32"/>
        </w:rPr>
      </w:pPr>
      <w:r>
        <w:rPr>
          <w:rFonts w:hint="eastAsia" w:ascii="方正仿宋_GBK" w:hAnsi="方正小标宋简体" w:eastAsia="方正仿宋_GBK" w:cs="方正小标宋简体"/>
          <w:kern w:val="0"/>
          <w:sz w:val="32"/>
          <w:szCs w:val="32"/>
        </w:rPr>
        <w:t>44. “双线构筑”高职院校青春健康教育“四位一体”模式的探索与实践</w:t>
      </w:r>
    </w:p>
    <w:p>
      <w:pPr>
        <w:tabs>
          <w:tab w:val="left" w:pos="3155"/>
        </w:tabs>
        <w:spacing w:line="560" w:lineRule="exact"/>
        <w:ind w:firstLine="640" w:firstLineChars="200"/>
        <w:rPr>
          <w:rFonts w:ascii="方正仿宋_GBK" w:hAnsi="方正小标宋简体" w:eastAsia="方正仿宋_GBK" w:cs="方正小标宋简体"/>
          <w:kern w:val="0"/>
          <w:sz w:val="32"/>
          <w:szCs w:val="32"/>
        </w:rPr>
      </w:pPr>
      <w:r>
        <w:rPr>
          <w:rFonts w:hint="eastAsia" w:ascii="方正仿宋_GBK" w:hAnsi="方正小标宋简体" w:eastAsia="方正仿宋_GBK" w:cs="方正小标宋简体"/>
          <w:kern w:val="0"/>
          <w:sz w:val="32"/>
          <w:szCs w:val="32"/>
        </w:rPr>
        <w:t>45. 乡村振兴战略背景下东莞市休闲农业发展现状及对策研究</w:t>
      </w:r>
    </w:p>
    <w:p>
      <w:pPr>
        <w:tabs>
          <w:tab w:val="left" w:pos="3155"/>
        </w:tabs>
        <w:spacing w:line="560" w:lineRule="exact"/>
        <w:ind w:firstLine="640" w:firstLineChars="200"/>
        <w:rPr>
          <w:rFonts w:ascii="方正仿宋_GBK" w:hAnsi="方正小标宋简体" w:eastAsia="方正仿宋_GBK" w:cs="方正小标宋简体"/>
          <w:kern w:val="0"/>
          <w:sz w:val="32"/>
          <w:szCs w:val="32"/>
        </w:rPr>
      </w:pPr>
      <w:r>
        <w:rPr>
          <w:rFonts w:hint="eastAsia" w:ascii="方正仿宋_GBK" w:hAnsi="方正小标宋简体" w:eastAsia="方正仿宋_GBK" w:cs="方正小标宋简体"/>
          <w:kern w:val="0"/>
          <w:sz w:val="32"/>
          <w:szCs w:val="32"/>
        </w:rPr>
        <w:t>46. “河”去何从：绿色发展理念下地方政府水环境治理的典范——以广东江门河长制为例</w:t>
      </w:r>
    </w:p>
    <w:p>
      <w:pPr>
        <w:tabs>
          <w:tab w:val="left" w:pos="3155"/>
        </w:tabs>
        <w:spacing w:line="560" w:lineRule="exact"/>
        <w:ind w:firstLine="640" w:firstLineChars="200"/>
        <w:rPr>
          <w:rFonts w:ascii="方正仿宋_GBK" w:hAnsi="方正小标宋简体" w:eastAsia="方正仿宋_GBK" w:cs="方正小标宋简体"/>
          <w:kern w:val="0"/>
          <w:sz w:val="32"/>
          <w:szCs w:val="32"/>
        </w:rPr>
      </w:pPr>
      <w:r>
        <w:rPr>
          <w:rFonts w:hint="eastAsia" w:ascii="方正仿宋_GBK" w:hAnsi="方正小标宋简体" w:eastAsia="方正仿宋_GBK" w:cs="方正小标宋简体"/>
          <w:kern w:val="0"/>
          <w:sz w:val="32"/>
          <w:szCs w:val="32"/>
        </w:rPr>
        <w:t>47. 粤港澳大湾区建设背景下地方文化传承与发展调查报告 ——以江门滨江新区为例</w:t>
      </w:r>
    </w:p>
    <w:p>
      <w:pPr>
        <w:tabs>
          <w:tab w:val="left" w:pos="3155"/>
        </w:tabs>
        <w:spacing w:line="560" w:lineRule="exact"/>
        <w:ind w:firstLine="640" w:firstLineChars="200"/>
        <w:rPr>
          <w:rFonts w:ascii="方正仿宋_GBK" w:hAnsi="方正小标宋简体" w:eastAsia="方正仿宋_GBK" w:cs="方正小标宋简体"/>
          <w:kern w:val="0"/>
          <w:sz w:val="32"/>
          <w:szCs w:val="32"/>
        </w:rPr>
      </w:pPr>
      <w:r>
        <w:rPr>
          <w:rFonts w:hint="eastAsia" w:ascii="方正仿宋_GBK" w:hAnsi="方正小标宋简体" w:eastAsia="方正仿宋_GBK" w:cs="方正小标宋简体"/>
          <w:kern w:val="0"/>
          <w:sz w:val="32"/>
          <w:szCs w:val="32"/>
        </w:rPr>
        <w:t>48. 顺德“世界美食之都”品牌认知研究</w:t>
      </w:r>
    </w:p>
    <w:p>
      <w:pPr>
        <w:tabs>
          <w:tab w:val="left" w:pos="3155"/>
        </w:tabs>
        <w:spacing w:line="560" w:lineRule="exact"/>
        <w:ind w:firstLine="640" w:firstLineChars="200"/>
        <w:rPr>
          <w:rFonts w:ascii="方正仿宋_GBK" w:hAnsi="方正小标宋简体" w:eastAsia="方正仿宋_GBK" w:cs="方正小标宋简体"/>
          <w:kern w:val="0"/>
          <w:sz w:val="32"/>
          <w:szCs w:val="32"/>
        </w:rPr>
      </w:pPr>
      <w:r>
        <w:rPr>
          <w:rFonts w:hint="eastAsia" w:ascii="方正仿宋_GBK" w:hAnsi="方正小标宋简体" w:eastAsia="方正仿宋_GBK" w:cs="方正小标宋简体"/>
          <w:kern w:val="0"/>
          <w:sz w:val="32"/>
          <w:szCs w:val="32"/>
        </w:rPr>
        <w:t>49. 创新高质量发展的民营企业社会化服务格局研究--以顺德区为例</w:t>
      </w:r>
    </w:p>
    <w:p>
      <w:pPr>
        <w:tabs>
          <w:tab w:val="left" w:pos="3155"/>
        </w:tabs>
        <w:spacing w:line="560" w:lineRule="exact"/>
        <w:ind w:firstLine="640" w:firstLineChars="200"/>
        <w:rPr>
          <w:rFonts w:ascii="方正仿宋_GBK" w:hAnsi="方正小标宋简体" w:eastAsia="方正仿宋_GBK" w:cs="方正小标宋简体"/>
          <w:kern w:val="0"/>
          <w:sz w:val="32"/>
          <w:szCs w:val="32"/>
        </w:rPr>
      </w:pPr>
      <w:r>
        <w:rPr>
          <w:rFonts w:hint="eastAsia" w:ascii="方正仿宋_GBK" w:hAnsi="方正小标宋简体" w:eastAsia="方正仿宋_GBK" w:cs="方正小标宋简体"/>
          <w:kern w:val="0"/>
          <w:sz w:val="32"/>
          <w:szCs w:val="32"/>
        </w:rPr>
        <w:t>50. 广东省民营养老服务产业调研报告</w:t>
      </w:r>
    </w:p>
    <w:p>
      <w:pPr>
        <w:tabs>
          <w:tab w:val="left" w:pos="3155"/>
        </w:tabs>
        <w:spacing w:line="560" w:lineRule="exact"/>
        <w:ind w:firstLine="640" w:firstLineChars="200"/>
        <w:rPr>
          <w:rFonts w:ascii="方正仿宋_GBK" w:hAnsi="方正小标宋简体" w:eastAsia="方正仿宋_GBK" w:cs="方正小标宋简体"/>
          <w:kern w:val="0"/>
          <w:sz w:val="32"/>
          <w:szCs w:val="32"/>
        </w:rPr>
      </w:pPr>
      <w:r>
        <w:rPr>
          <w:rFonts w:hint="eastAsia" w:ascii="方正仿宋_GBK" w:hAnsi="方正小标宋简体" w:eastAsia="方正仿宋_GBK" w:cs="方正小标宋简体"/>
          <w:kern w:val="0"/>
          <w:sz w:val="32"/>
          <w:szCs w:val="32"/>
        </w:rPr>
        <w:t xml:space="preserve">51. 基于“脱贫攻坚，乡村振兴”背景下民营企业帮扶新农村建设模式调查报告 </w:t>
      </w:r>
      <w:r>
        <w:rPr>
          <w:rFonts w:hint="eastAsia" w:ascii="方正仿宋_GBK" w:hAnsi="微软雅黑" w:eastAsia="方正仿宋_GBK" w:cs="微软雅黑"/>
          <w:kern w:val="0"/>
          <w:sz w:val="32"/>
          <w:szCs w:val="32"/>
        </w:rPr>
        <w:t>―</w:t>
      </w:r>
      <w:r>
        <w:rPr>
          <w:rFonts w:hint="eastAsia" w:ascii="方正仿宋_GBK" w:hAnsi="方正小标宋简体" w:eastAsia="方正仿宋_GBK" w:cs="方正小标宋简体"/>
          <w:kern w:val="0"/>
          <w:sz w:val="32"/>
          <w:szCs w:val="32"/>
        </w:rPr>
        <w:t>以碧桂园帮扶英德新农村建设为例</w:t>
      </w:r>
    </w:p>
    <w:p>
      <w:bookmarkStart w:id="0" w:name="_GoBack"/>
      <w:bookmarkEnd w:id="0"/>
    </w:p>
    <w:sectPr>
      <w:footerReference r:id="rId3" w:type="default"/>
      <w:pgSz w:w="11906" w:h="16838"/>
      <w:pgMar w:top="1701" w:right="1474" w:bottom="1701" w:left="1588"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altName w:val="微软雅黑"/>
    <w:panose1 w:val="03000509000000000000"/>
    <w:charset w:val="86"/>
    <w:family w:val="script"/>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方正小标宋简体">
    <w:altName w:val="方正舒体"/>
    <w:panose1 w:val="02010601030101010101"/>
    <w:charset w:val="86"/>
    <w:family w:val="auto"/>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6"/>
        <w:rFonts w:ascii="宋体" w:hAnsi="宋体"/>
        <w:sz w:val="28"/>
        <w:szCs w:val="28"/>
      </w:rPr>
    </w:pPr>
    <w:r>
      <w:rPr>
        <w:rStyle w:val="6"/>
        <w:rFonts w:hint="eastAsia" w:ascii="宋体" w:hAnsi="宋体"/>
        <w:sz w:val="28"/>
        <w:szCs w:val="28"/>
      </w:rPr>
      <w:t>—</w:t>
    </w:r>
    <w:r>
      <w:rPr>
        <w:rFonts w:ascii="宋体" w:hAnsi="宋体"/>
        <w:sz w:val="28"/>
        <w:szCs w:val="28"/>
      </w:rPr>
      <w:fldChar w:fldCharType="begin"/>
    </w:r>
    <w:r>
      <w:rPr>
        <w:rStyle w:val="6"/>
        <w:rFonts w:ascii="宋体" w:hAnsi="宋体"/>
        <w:sz w:val="28"/>
        <w:szCs w:val="28"/>
      </w:rPr>
      <w:instrText xml:space="preserve">PAGE  </w:instrText>
    </w:r>
    <w:r>
      <w:rPr>
        <w:rFonts w:ascii="宋体" w:hAnsi="宋体"/>
        <w:sz w:val="28"/>
        <w:szCs w:val="28"/>
      </w:rPr>
      <w:fldChar w:fldCharType="separate"/>
    </w:r>
    <w:r>
      <w:rPr>
        <w:rStyle w:val="6"/>
        <w:rFonts w:ascii="宋体" w:hAnsi="宋体"/>
        <w:sz w:val="28"/>
        <w:szCs w:val="28"/>
      </w:rPr>
      <w:t>8</w:t>
    </w:r>
    <w:r>
      <w:rPr>
        <w:rFonts w:ascii="宋体" w:hAnsi="宋体"/>
        <w:sz w:val="28"/>
        <w:szCs w:val="28"/>
      </w:rPr>
      <w:fldChar w:fldCharType="end"/>
    </w:r>
    <w:r>
      <w:rPr>
        <w:rStyle w:val="6"/>
        <w:rFonts w:hint="eastAsia" w:ascii="宋体" w:hAnsi="宋体"/>
        <w:sz w:val="28"/>
        <w:szCs w:val="28"/>
      </w:rPr>
      <w:t>—</w:t>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0267861"/>
    <w:rsid w:val="30267861"/>
    <w:rsid w:val="375C40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Body Text"/>
    <w:basedOn w:val="1"/>
    <w:qFormat/>
    <w:uiPriority w:val="1"/>
    <w:pPr>
      <w:spacing w:before="191"/>
      <w:ind w:left="711"/>
    </w:pPr>
    <w:rPr>
      <w:rFonts w:ascii="宋体" w:hAnsi="宋体"/>
      <w:sz w:val="29"/>
      <w:szCs w:val="29"/>
    </w:rPr>
  </w:style>
  <w:style w:type="paragraph" w:styleId="3">
    <w:name w:val="footer"/>
    <w:basedOn w:val="1"/>
    <w:qFormat/>
    <w:uiPriority w:val="0"/>
    <w:pPr>
      <w:tabs>
        <w:tab w:val="center" w:pos="4153"/>
        <w:tab w:val="right" w:pos="8306"/>
      </w:tabs>
      <w:snapToGrid w:val="0"/>
      <w:jc w:val="left"/>
    </w:pPr>
    <w:rPr>
      <w:rFonts w:ascii="Calibri" w:hAnsi="Calibri"/>
      <w:sz w:val="18"/>
      <w:szCs w:val="18"/>
    </w:rPr>
  </w:style>
  <w:style w:type="character" w:styleId="6">
    <w:name w:val="page number"/>
    <w:qFormat/>
    <w:uiPriority w:val="0"/>
    <w:rPr>
      <w:rFonts w:ascii="Calibri" w:hAnsi="Calibri" w:eastAsia="宋体" w:cs="Times New Roma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2020-09-27T12:02:00Z</dcterms:created>
  <dc:creator>asus</dc:creator>
  <cp:lastModifiedBy>asus</cp:lastModifiedBy>
  <dcterms:modified xsi:type="dcterms:W3CDTF">2020-09-27T12:05:38Z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