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5"/>
        </w:tabs>
        <w:spacing w:line="720" w:lineRule="exact"/>
        <w:jc w:val="center"/>
        <w:rPr>
          <w:rFonts w:ascii="方正仿宋_GBK" w:hAnsi="方正小标宋简体" w:eastAsia="方正仿宋_GBK" w:cs="方正小标宋简体"/>
          <w:kern w:val="0"/>
          <w:sz w:val="44"/>
          <w:szCs w:val="44"/>
        </w:rPr>
      </w:pPr>
      <w:r>
        <w:rPr>
          <w:rFonts w:hint="eastAsia" w:ascii="方正仿宋_GBK" w:hAnsi="方正小标宋简体" w:eastAsia="方正仿宋_GBK" w:cs="方正小标宋简体"/>
          <w:kern w:val="0"/>
          <w:sz w:val="44"/>
          <w:szCs w:val="44"/>
        </w:rPr>
        <w:t>第十五届“挑战杯”广东大学生课外</w:t>
      </w:r>
    </w:p>
    <w:p>
      <w:pPr>
        <w:tabs>
          <w:tab w:val="left" w:pos="3155"/>
        </w:tabs>
        <w:spacing w:line="720" w:lineRule="exact"/>
        <w:jc w:val="center"/>
        <w:rPr>
          <w:rFonts w:ascii="方正仿宋_GBK" w:hAnsi="方正小标宋简体" w:eastAsia="方正仿宋_GBK" w:cs="方正小标宋简体"/>
          <w:kern w:val="0"/>
          <w:sz w:val="44"/>
          <w:szCs w:val="44"/>
        </w:rPr>
      </w:pPr>
      <w:r>
        <w:rPr>
          <w:rFonts w:hint="eastAsia" w:ascii="方正仿宋_GBK" w:hAnsi="方正小标宋简体" w:eastAsia="方正仿宋_GBK" w:cs="方正小标宋简体"/>
          <w:kern w:val="0"/>
          <w:sz w:val="44"/>
          <w:szCs w:val="44"/>
        </w:rPr>
        <w:t>学术科技作品竞赛获奖选题</w:t>
      </w:r>
    </w:p>
    <w:p>
      <w:pPr>
        <w:tabs>
          <w:tab w:val="left" w:pos="3155"/>
        </w:tabs>
        <w:spacing w:line="720" w:lineRule="exact"/>
        <w:jc w:val="center"/>
        <w:rPr>
          <w:rFonts w:ascii="方正仿宋_GBK" w:hAnsi="方正小标宋简体" w:eastAsia="方正仿宋_GBK" w:cs="方正小标宋简体"/>
          <w:kern w:val="0"/>
          <w:sz w:val="44"/>
          <w:szCs w:val="44"/>
        </w:rPr>
      </w:pPr>
      <w:r>
        <w:rPr>
          <w:rFonts w:hint="eastAsia" w:ascii="方正仿宋_GBK" w:hAnsi="方正小标宋简体" w:eastAsia="方正仿宋_GBK" w:cs="方正小标宋简体"/>
          <w:kern w:val="0"/>
          <w:sz w:val="44"/>
          <w:szCs w:val="44"/>
        </w:rPr>
        <w:t>（2019年版供参考）</w:t>
      </w:r>
    </w:p>
    <w:p>
      <w:pPr>
        <w:tabs>
          <w:tab w:val="left" w:pos="3155"/>
        </w:tabs>
        <w:spacing w:line="560" w:lineRule="exact"/>
        <w:jc w:val="center"/>
        <w:rPr>
          <w:rFonts w:ascii="方正仿宋_GBK" w:hAnsi="方正小标宋简体" w:eastAsia="方正仿宋_GBK" w:cs="方正小标宋简体"/>
          <w:kern w:val="0"/>
          <w:sz w:val="32"/>
          <w:szCs w:val="32"/>
        </w:rPr>
      </w:pPr>
    </w:p>
    <w:p>
      <w:pPr>
        <w:tabs>
          <w:tab w:val="left" w:pos="3155"/>
        </w:tabs>
        <w:spacing w:line="560" w:lineRule="exact"/>
        <w:jc w:val="center"/>
        <w:rPr>
          <w:rFonts w:ascii="方正仿宋_GBK" w:hAnsi="仿宋_GB2312" w:eastAsia="方正仿宋_GBK" w:cs="仿宋_GB2312"/>
          <w:b/>
          <w:bCs/>
          <w:sz w:val="32"/>
          <w:szCs w:val="32"/>
        </w:rPr>
      </w:pPr>
      <w:r>
        <w:rPr>
          <w:rFonts w:hint="eastAsia" w:ascii="方正仿宋_GBK" w:hAnsi="仿宋_GB2312" w:eastAsia="方正仿宋_GBK" w:cs="仿宋_GB2312"/>
          <w:b/>
          <w:bCs/>
          <w:sz w:val="32"/>
          <w:szCs w:val="32"/>
        </w:rPr>
        <w:t>哲学社会科学类参赛作品特等奖获奖选题</w:t>
      </w:r>
    </w:p>
    <w:p>
      <w:pPr>
        <w:tabs>
          <w:tab w:val="left" w:pos="3155"/>
        </w:tabs>
        <w:spacing w:line="560" w:lineRule="exact"/>
        <w:jc w:val="center"/>
        <w:rPr>
          <w:rFonts w:ascii="方正仿宋_GBK" w:hAnsi="方正小标宋简体" w:eastAsia="方正仿宋_GBK" w:cs="方正小标宋简体"/>
          <w:kern w:val="0"/>
          <w:sz w:val="32"/>
          <w:szCs w:val="32"/>
        </w:rPr>
      </w:pP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1. 全国视野下的商事制度改革—基于市场主体的调查研究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2. 内地高校港澳生国家认同的三因素机制及政策启示</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3. 乡镇特色风貌营建的社会治理机制研究——基于广东省3镇12村的田野调查</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 财政精准扶贫：空间绩效与政策改进--基于“广东扶贫云”大数据分析及15市县24镇32贫困村的实地调研</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5. 乡村振兴战略背景下中国农民的农地情怀与期待——基于8432位农民对家庭联产承包责任制的政策感知</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6. 走在脱贫攻坚和乡村振兴的转向之际：基于广东省103个村1159位村民的旅游扶贫调查</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7. 品牌价值提升视角下我国产业扶贫对策研究——基于全国300余村落6320份问卷的调研分析</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8. 运动作剑，弃毒前行--基于广东省11228名戒毒人员体质调查的运动处方设计与效果跟踪</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9. 互联网时代传统制造业的变革调查报告--以化工业为例</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10. 原真性视觉下岭南乞巧民俗文化的传承状态-基于广州珠村的调查研究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11. 社会转型背景下关于手工技艺类非遗自我可持续性保护的研究--以佛山剪纸为例</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12. 治水“政令堰塞湖”？--河长制在基层运行的困顿及反思</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13. 农村教育贫困的文化根源与教育精准扶贫——基于粤西三村的田野调查</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14. 三尺讲台的幸福寻踪--基于粤东X贫困县中小学教师职业幸福感的调查研究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15. 粤港澳大湾区跨境空间的形成及其影响因素研究——以深圳市蛇口片区为例</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16. 官方微信公众号对校园文化传播及高校形象构建的影响研究 --以全国50所高校官微为例</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17. 欠发达地区毒品问题治理的路径探索--基于广东省陆丰市的调查</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18. 文化复兴视角下岭南乡村民居的价值探索与风貌重塑研究——基于对潮汕传统村落的调研</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19. 广州新河浦历史文化街区文化保育研究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20. 基于岗位胜任力的临床医生成长质量全程追踪评价体系</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21. 农村“垫资—第三方评估—划拨”精准扶贫模式及其绩效研究——以中部H省S县“六改一增”为例</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22. “互联网+”时代下知识付费平台竞争力评价指标体系的构建及实证研究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23. 法律赋能新时代大学生创新创业——基于广东大学生双创现状的实证分析与应用研究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24. 在线餐饮外卖如何“利民”又“利国”——广州外卖行业引发的社会问题调查及对策研究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25. 《乡村振兴视域下惠州周田村四大文化旅游资源的整合与开发--来自叶挺家乡的报告》</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26. 申遗十年喜共忧,同寻粤剧源与流——粤港澳大湾区视野下的粤剧传承与传播</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27. 让社区为“居家养老服务”撑起幸福伞——广州市居家养老服务社区支持现状与创新研究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28. 乡村振兴战略背景下以教育信息化促进城乡教育优质均衡发展的实践路径研究——以湛江市为例</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29. 精准扶贫下广东省贫困人口获得感调查研究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30. 打开心灵窗户，共浴明媚阳光——特殊群体生命故事研究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31. 基于归因理论的大学生责任意识影响机制实证研究--大学生责任意识的维度结构及其差异分析</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32. 以博物馆为载体的山区短期支教新模式探索</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33. 乡村振兴背景下对农村承包地制度改革的探索——以佛山南海为例</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34. 中小型民营制造业企业如何应对中美贸易摩擦挑战？——基于广东佛山家具行业的调查</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35. 把紧“入口”民生，守护“舌尖”安全一一基于珠三角G市国家食品安全城市创建满意度调研</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36. 信息化大赛下高职学生信息化学习满意度调查——基于广东十所高职院校的调研</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37. 优秀家风家训涵养社会主义核心价值观 的现状调研和对策研究——基于广府地区2043个家庭的实证分析</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38. 传承、弘扬、借鉴、创新--新时代大学生文化自信培养调查研究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39. 互联网+背景下镇安村电商扶贫现状及对策研究——基于181户村民的回访与调查</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40. 关于大学生对“网红”现象认知情况的调研报告</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41. 21世纪“海上丝绸之路”背景下国家级非物质文化遗产潮绣的发展现状及传播策略研究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42. 中山市医疗机构双向转诊制度的运行现状和影响因素的调研报告</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43. 精准扶贫视角下高职院校贫困生心理分析及资助方式研究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43. 以Alkire-Foster多维贫困测度模型落实精准扶贫识别及帮扶对策研究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44. “双线构筑”高职院校青春健康教育“四位一体”模式的探索与实践</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45. 乡村振兴战略背景下东莞市休闲农业发展现状及对策研究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46. “河”去何从：绿色发展理念下地方政府水环境治理的典范——以广东江门河长制为例</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47. 粤港澳大湾区建设背景下地方文化传承与发展调查报告 ——以江门滨江新区为例</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48. 顺德“世界美食之都”品牌认知研究</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49. 创新高质量发展的民营企业社会化服务格局研究--以顺德区为例</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50. 广东省民营养老服务产业调研报告</w:t>
      </w:r>
    </w:p>
    <w:p>
      <w:pPr>
        <w:tabs>
          <w:tab w:val="left" w:pos="3155"/>
        </w:tabs>
        <w:spacing w:line="560" w:lineRule="exact"/>
        <w:ind w:firstLine="640" w:firstLineChars="200"/>
        <w:rPr>
          <w:rFonts w:ascii="方正仿宋_GBK" w:hAnsi="方正小标宋简体" w:eastAsia="方正仿宋_GBK" w:cs="方正小标宋简体"/>
          <w:kern w:val="0"/>
          <w:sz w:val="32"/>
          <w:szCs w:val="32"/>
        </w:rPr>
      </w:pPr>
      <w:r>
        <w:rPr>
          <w:rFonts w:hint="eastAsia" w:ascii="方正仿宋_GBK" w:hAnsi="方正小标宋简体" w:eastAsia="方正仿宋_GBK" w:cs="方正小标宋简体"/>
          <w:kern w:val="0"/>
          <w:sz w:val="32"/>
          <w:szCs w:val="32"/>
        </w:rPr>
        <w:t xml:space="preserve">51. 基于“脱贫攻坚，乡村振兴”背景下民营企业帮扶新农村建设模式调查报告 </w:t>
      </w:r>
      <w:r>
        <w:rPr>
          <w:rFonts w:hint="eastAsia" w:ascii="方正仿宋_GBK" w:hAnsi="微软雅黑" w:eastAsia="方正仿宋_GBK" w:cs="微软雅黑"/>
          <w:kern w:val="0"/>
          <w:sz w:val="32"/>
          <w:szCs w:val="32"/>
        </w:rPr>
        <w:t>―</w:t>
      </w:r>
      <w:r>
        <w:rPr>
          <w:rFonts w:hint="eastAsia" w:ascii="方正仿宋_GBK" w:hAnsi="方正小标宋简体" w:eastAsia="方正仿宋_GBK" w:cs="方正小标宋简体"/>
          <w:kern w:val="0"/>
          <w:sz w:val="32"/>
          <w:szCs w:val="32"/>
        </w:rPr>
        <w:t>以碧桂园帮扶英德新农村建设为例</w:t>
      </w:r>
    </w:p>
    <w:p>
      <w:bookmarkStart w:id="0" w:name="_GoBack"/>
      <w:bookmarkEnd w:id="0"/>
    </w:p>
    <w:sectPr>
      <w:footerReference r:id="rId3" w:type="default"/>
      <w:pgSz w:w="11906" w:h="16838"/>
      <w:pgMar w:top="1701" w:right="1474" w:bottom="1701"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8</w:t>
    </w:r>
    <w:r>
      <w:rPr>
        <w:rFonts w:ascii="宋体" w:hAnsi="宋体"/>
        <w:sz w:val="28"/>
        <w:szCs w:val="28"/>
      </w:rPr>
      <w:fldChar w:fldCharType="end"/>
    </w:r>
    <w:r>
      <w:rPr>
        <w:rStyle w:val="6"/>
        <w:rFonts w:hint="eastAsia"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67861"/>
    <w:rsid w:val="30267861"/>
    <w:rsid w:val="375C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91"/>
      <w:ind w:left="711"/>
    </w:pPr>
    <w:rPr>
      <w:rFonts w:ascii="宋体" w:hAnsi="宋体"/>
      <w:sz w:val="29"/>
      <w:szCs w:val="29"/>
    </w:rPr>
  </w:style>
  <w:style w:type="paragraph" w:styleId="3">
    <w:name w:val="footer"/>
    <w:basedOn w:val="1"/>
    <w:qFormat/>
    <w:uiPriority w:val="0"/>
    <w:pPr>
      <w:tabs>
        <w:tab w:val="center" w:pos="4153"/>
        <w:tab w:val="right" w:pos="8306"/>
      </w:tabs>
      <w:snapToGrid w:val="0"/>
      <w:jc w:val="left"/>
    </w:pPr>
    <w:rPr>
      <w:rFonts w:ascii="Calibri" w:hAnsi="Calibri"/>
      <w:sz w:val="18"/>
      <w:szCs w:val="18"/>
    </w:rPr>
  </w:style>
  <w:style w:type="character" w:styleId="6">
    <w:name w:val="page numb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2020-09-27T12:02:00Z</dcterms:created>
  <dc:creator>asus</dc:creator>
  <cp:lastModifiedBy>asus</cp:lastModifiedBy>
  <dcterms:modified xsi:type="dcterms:W3CDTF">2020-09-27T12:05:38Z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