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C7" w:rsidRDefault="004308C7" w:rsidP="004308C7">
      <w:pPr>
        <w:widowControl/>
        <w:spacing w:line="480" w:lineRule="auto"/>
        <w:ind w:firstLineChars="200" w:firstLine="420"/>
        <w:jc w:val="center"/>
        <w:rPr>
          <w:rFonts w:asciiTheme="minorEastAsia" w:hAnsiTheme="minorEastAsia" w:cs="Arial" w:hint="eastAsia"/>
          <w:kern w:val="0"/>
          <w:szCs w:val="21"/>
        </w:rPr>
      </w:pPr>
      <w:bookmarkStart w:id="0" w:name="_GoBack"/>
      <w:r w:rsidRPr="004308C7">
        <w:rPr>
          <w:rFonts w:asciiTheme="minorEastAsia" w:hAnsiTheme="minorEastAsia" w:cs="宋体" w:hint="eastAsia"/>
          <w:kern w:val="0"/>
          <w:szCs w:val="21"/>
        </w:rPr>
        <w:t>我院党委召开纪律学习月专题辅导报告会</w:t>
      </w:r>
    </w:p>
    <w:bookmarkEnd w:id="0"/>
    <w:p w:rsidR="004308C7" w:rsidRDefault="004308C7" w:rsidP="004308C7">
      <w:pPr>
        <w:widowControl/>
        <w:spacing w:line="480" w:lineRule="auto"/>
        <w:ind w:firstLineChars="200" w:firstLine="420"/>
        <w:jc w:val="right"/>
        <w:rPr>
          <w:rFonts w:asciiTheme="minorEastAsia" w:hAnsiTheme="minorEastAsia" w:cs="Arial" w:hint="eastAsia"/>
          <w:kern w:val="0"/>
          <w:szCs w:val="21"/>
        </w:rPr>
      </w:pPr>
      <w:r>
        <w:rPr>
          <w:rFonts w:asciiTheme="minorEastAsia" w:hAnsiTheme="minorEastAsia" w:cs="Arial" w:hint="eastAsia"/>
          <w:kern w:val="0"/>
          <w:szCs w:val="21"/>
        </w:rPr>
        <w:t>来源：高级翻译学院</w:t>
      </w:r>
    </w:p>
    <w:p w:rsidR="00774801" w:rsidRPr="00774801" w:rsidRDefault="00774801" w:rsidP="00774801">
      <w:pPr>
        <w:widowControl/>
        <w:spacing w:line="480" w:lineRule="auto"/>
        <w:ind w:firstLineChars="200" w:firstLine="420"/>
        <w:jc w:val="left"/>
        <w:rPr>
          <w:rFonts w:asciiTheme="minorEastAsia" w:hAnsiTheme="minorEastAsia" w:cs="宋体"/>
          <w:kern w:val="0"/>
          <w:szCs w:val="21"/>
        </w:rPr>
      </w:pPr>
      <w:r w:rsidRPr="00774801">
        <w:rPr>
          <w:rFonts w:asciiTheme="minorEastAsia" w:hAnsiTheme="minorEastAsia" w:cs="宋体" w:hint="eastAsia"/>
          <w:color w:val="000000"/>
          <w:kern w:val="0"/>
          <w:szCs w:val="21"/>
        </w:rPr>
        <w:t>根据开展“两学一做”学习教育和纪律教育学习月活动的安排，10月16日下午，我院党委召开纪律教育专题辅导报告会。专题辅导报告会邀请了党办校办政策法规科郑慧琪、财务处出纳审核科何莉、党办校办综合科杨博及学院党委副书记杜焕君围绕合同管理、国内公务接待、差旅费管理和干部约谈等开展专题培训，刘志军书记做专题辅导。学院党委书记刘志军和院长赵军峰等学院领导、系主任、学院行政管理人员参加了辅导报告会，报告会由学院党委副书记、纪检委员杜焕君主持。</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noProof/>
          <w:color w:val="000000"/>
          <w:kern w:val="0"/>
          <w:szCs w:val="21"/>
        </w:rPr>
        <w:drawing>
          <wp:inline distT="0" distB="0" distL="0" distR="0" wp14:anchorId="49F1AEAF" wp14:editId="57C742BE">
            <wp:extent cx="5267325" cy="3524250"/>
            <wp:effectExtent l="0" t="0" r="9525" b="0"/>
            <wp:docPr id="5" name="图片 5" descr="DSC_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DSC_05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24250"/>
                    </a:xfrm>
                    <a:prstGeom prst="rect">
                      <a:avLst/>
                    </a:prstGeom>
                    <a:noFill/>
                    <a:ln>
                      <a:noFill/>
                    </a:ln>
                  </pic:spPr>
                </pic:pic>
              </a:graphicData>
            </a:graphic>
          </wp:inline>
        </w:drawing>
      </w:r>
    </w:p>
    <w:p w:rsidR="00774801" w:rsidRPr="00774801" w:rsidRDefault="00774801" w:rsidP="00774801">
      <w:pPr>
        <w:widowControl/>
        <w:spacing w:line="480" w:lineRule="auto"/>
        <w:ind w:firstLineChars="200" w:firstLine="422"/>
        <w:jc w:val="center"/>
        <w:rPr>
          <w:rFonts w:asciiTheme="minorEastAsia" w:hAnsiTheme="minorEastAsia" w:cs="宋体" w:hint="eastAsia"/>
          <w:kern w:val="0"/>
          <w:szCs w:val="21"/>
        </w:rPr>
      </w:pPr>
      <w:r w:rsidRPr="00774801">
        <w:rPr>
          <w:rFonts w:asciiTheme="minorEastAsia" w:hAnsiTheme="minorEastAsia" w:cs="宋体" w:hint="eastAsia"/>
          <w:b/>
          <w:bCs/>
          <w:color w:val="000000"/>
          <w:kern w:val="0"/>
          <w:szCs w:val="21"/>
        </w:rPr>
        <w:t>专题辅导报告会现场</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color w:val="000000"/>
          <w:kern w:val="0"/>
          <w:szCs w:val="21"/>
        </w:rPr>
        <w:t>郑慧</w:t>
      </w:r>
      <w:proofErr w:type="gramStart"/>
      <w:r w:rsidRPr="00774801">
        <w:rPr>
          <w:rFonts w:asciiTheme="minorEastAsia" w:hAnsiTheme="minorEastAsia" w:cs="宋体" w:hint="eastAsia"/>
          <w:color w:val="000000"/>
          <w:kern w:val="0"/>
          <w:szCs w:val="21"/>
        </w:rPr>
        <w:t>琪首先</w:t>
      </w:r>
      <w:proofErr w:type="gramEnd"/>
      <w:r w:rsidRPr="00774801">
        <w:rPr>
          <w:rFonts w:asciiTheme="minorEastAsia" w:hAnsiTheme="minorEastAsia" w:cs="宋体" w:hint="eastAsia"/>
          <w:color w:val="000000"/>
          <w:kern w:val="0"/>
          <w:szCs w:val="21"/>
        </w:rPr>
        <w:t>以“管好合同，防范风险”为主题进行专题报告，她从看金额、走审批、存档案三个方面介绍了学校新修订的合同管理规定，强调了严格履行合同审批程序的重要性。</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kern w:val="0"/>
          <w:szCs w:val="21"/>
        </w:rPr>
        <w:lastRenderedPageBreak/>
        <w:t>   </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noProof/>
          <w:color w:val="000000"/>
          <w:kern w:val="0"/>
          <w:szCs w:val="21"/>
        </w:rPr>
        <w:drawing>
          <wp:inline distT="0" distB="0" distL="0" distR="0" wp14:anchorId="125864B1" wp14:editId="641BA2D4">
            <wp:extent cx="4800600" cy="3209925"/>
            <wp:effectExtent l="0" t="0" r="0" b="9525"/>
            <wp:docPr id="4" name="图片 4" descr="DSC_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SC_05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209925"/>
                    </a:xfrm>
                    <a:prstGeom prst="rect">
                      <a:avLst/>
                    </a:prstGeom>
                    <a:noFill/>
                    <a:ln>
                      <a:noFill/>
                    </a:ln>
                  </pic:spPr>
                </pic:pic>
              </a:graphicData>
            </a:graphic>
          </wp:inline>
        </w:drawing>
      </w:r>
    </w:p>
    <w:p w:rsidR="00774801" w:rsidRPr="00774801" w:rsidRDefault="00774801" w:rsidP="00774801">
      <w:pPr>
        <w:widowControl/>
        <w:spacing w:line="480" w:lineRule="auto"/>
        <w:ind w:firstLineChars="200" w:firstLine="422"/>
        <w:jc w:val="center"/>
        <w:rPr>
          <w:rFonts w:asciiTheme="minorEastAsia" w:hAnsiTheme="minorEastAsia" w:cs="宋体" w:hint="eastAsia"/>
          <w:kern w:val="0"/>
          <w:szCs w:val="21"/>
        </w:rPr>
      </w:pPr>
      <w:r w:rsidRPr="00774801">
        <w:rPr>
          <w:rFonts w:asciiTheme="minorEastAsia" w:hAnsiTheme="minorEastAsia" w:cs="宋体" w:hint="eastAsia"/>
          <w:b/>
          <w:bCs/>
          <w:color w:val="000000"/>
          <w:kern w:val="0"/>
          <w:szCs w:val="21"/>
        </w:rPr>
        <w:t>郑慧琪介绍合同管理规定</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color w:val="000000"/>
          <w:kern w:val="0"/>
          <w:szCs w:val="21"/>
        </w:rPr>
        <w:t>何莉对新修订的差旅费管理办法进行了全面的解读，特别是关于城市交通费、住宿费、伙食补助费等标准和报销管理，让大家有了深刻的认识，更加明确了遵守相关管理规定是防范风险的最有效手段。</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noProof/>
          <w:color w:val="000000"/>
          <w:kern w:val="0"/>
          <w:szCs w:val="21"/>
        </w:rPr>
        <w:lastRenderedPageBreak/>
        <w:drawing>
          <wp:inline distT="0" distB="0" distL="0" distR="0" wp14:anchorId="134298A1" wp14:editId="7CE60465">
            <wp:extent cx="4810125" cy="3629025"/>
            <wp:effectExtent l="0" t="0" r="9525" b="9525"/>
            <wp:docPr id="3" name="图片 3" descr="51052048186111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10520481861118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629025"/>
                    </a:xfrm>
                    <a:prstGeom prst="rect">
                      <a:avLst/>
                    </a:prstGeom>
                    <a:noFill/>
                    <a:ln>
                      <a:noFill/>
                    </a:ln>
                  </pic:spPr>
                </pic:pic>
              </a:graphicData>
            </a:graphic>
          </wp:inline>
        </w:drawing>
      </w:r>
    </w:p>
    <w:p w:rsidR="00774801" w:rsidRPr="00774801" w:rsidRDefault="00774801" w:rsidP="00774801">
      <w:pPr>
        <w:widowControl/>
        <w:spacing w:line="480" w:lineRule="auto"/>
        <w:ind w:firstLineChars="200" w:firstLine="422"/>
        <w:jc w:val="center"/>
        <w:rPr>
          <w:rFonts w:asciiTheme="minorEastAsia" w:hAnsiTheme="minorEastAsia" w:cs="宋体" w:hint="eastAsia"/>
          <w:kern w:val="0"/>
          <w:szCs w:val="21"/>
        </w:rPr>
      </w:pPr>
      <w:r w:rsidRPr="00774801">
        <w:rPr>
          <w:rFonts w:asciiTheme="minorEastAsia" w:hAnsiTheme="minorEastAsia" w:cs="宋体" w:hint="eastAsia"/>
          <w:b/>
          <w:bCs/>
          <w:color w:val="000000"/>
          <w:kern w:val="0"/>
          <w:szCs w:val="21"/>
        </w:rPr>
        <w:t>何莉解读差旅费管理办法</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color w:val="000000"/>
          <w:kern w:val="0"/>
          <w:szCs w:val="21"/>
        </w:rPr>
        <w:t>杨博则从新修订的国内公务接待管理办法出发，介绍了公务接待管理办法修订的背景和公务接待管理办法的三个特点：从严从紧，增列负面清单；规范机制，强化审批制度；明确标准，突出节俭导向。强调学院在工作中要严格执行学校公务接待的有关规定。</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noProof/>
          <w:color w:val="000000"/>
          <w:kern w:val="0"/>
          <w:szCs w:val="21"/>
        </w:rPr>
        <w:lastRenderedPageBreak/>
        <w:drawing>
          <wp:inline distT="0" distB="0" distL="0" distR="0" wp14:anchorId="1F438177" wp14:editId="7BCA85EC">
            <wp:extent cx="4781550" cy="3609975"/>
            <wp:effectExtent l="0" t="0" r="0" b="9525"/>
            <wp:docPr id="2" name="图片 2" descr="41957665477239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419576654772393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w:rsidR="00774801" w:rsidRPr="00774801" w:rsidRDefault="00774801" w:rsidP="00774801">
      <w:pPr>
        <w:widowControl/>
        <w:spacing w:line="480" w:lineRule="auto"/>
        <w:ind w:firstLineChars="200" w:firstLine="422"/>
        <w:jc w:val="center"/>
        <w:rPr>
          <w:rFonts w:asciiTheme="minorEastAsia" w:hAnsiTheme="minorEastAsia" w:cs="宋体" w:hint="eastAsia"/>
          <w:kern w:val="0"/>
          <w:szCs w:val="21"/>
        </w:rPr>
      </w:pPr>
      <w:r w:rsidRPr="00774801">
        <w:rPr>
          <w:rFonts w:asciiTheme="minorEastAsia" w:hAnsiTheme="minorEastAsia" w:cs="宋体" w:hint="eastAsia"/>
          <w:b/>
          <w:bCs/>
          <w:color w:val="000000"/>
          <w:kern w:val="0"/>
          <w:szCs w:val="21"/>
        </w:rPr>
        <w:t>杨博介绍公务接待管理办法的三个特点</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color w:val="000000"/>
          <w:kern w:val="0"/>
          <w:szCs w:val="21"/>
        </w:rPr>
        <w:t>为认真贯彻落实监督执纪“四种形态”精神，杜焕君全面介绍了学校干部约谈工作实施办法，明确了把纪律挺在前面的重要性，提高了学院全体党政人员的认识。</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color w:val="000000"/>
          <w:kern w:val="0"/>
          <w:szCs w:val="21"/>
        </w:rPr>
        <w:t>报告会的最后，学院党委书记刘志军做“注重学习不成文规矩，弘扬我党优良作风”为主题的报告。他从为什么要注重学习不成文规矩，不成文规矩是什么，不成文规矩新时期的新内容包含什么，怎么学习不成文规矩四个方面强调了在纪律学习中除了要注重成文规矩的学习外还要注重学习不成文规矩。他强调不成文规矩就是党的优良传统和作风，学习贯彻成文规矩是本分，学习贯彻不成文规矩是境界。他希望与会人员能够加强学习，认清形势，对党的政策的精神、党的优良传统的领悟要到位；要对自己严格要求，以身作则，带头做好并能及时提醒周围同志。</w:t>
      </w:r>
    </w:p>
    <w:p w:rsidR="00774801" w:rsidRPr="00774801" w:rsidRDefault="00774801" w:rsidP="00774801">
      <w:pPr>
        <w:widowControl/>
        <w:spacing w:line="480" w:lineRule="auto"/>
        <w:ind w:firstLineChars="200" w:firstLine="420"/>
        <w:jc w:val="left"/>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noProof/>
          <w:color w:val="000000"/>
          <w:kern w:val="0"/>
          <w:szCs w:val="21"/>
        </w:rPr>
        <w:lastRenderedPageBreak/>
        <w:drawing>
          <wp:inline distT="0" distB="0" distL="0" distR="0" wp14:anchorId="7DEB3645" wp14:editId="438DE742">
            <wp:extent cx="4914900" cy="3705225"/>
            <wp:effectExtent l="0" t="0" r="0" b="9525"/>
            <wp:docPr id="1" name="图片 1" descr="微信图片_2017101711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171017114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705225"/>
                    </a:xfrm>
                    <a:prstGeom prst="rect">
                      <a:avLst/>
                    </a:prstGeom>
                    <a:noFill/>
                    <a:ln>
                      <a:noFill/>
                    </a:ln>
                  </pic:spPr>
                </pic:pic>
              </a:graphicData>
            </a:graphic>
          </wp:inline>
        </w:drawing>
      </w:r>
    </w:p>
    <w:p w:rsidR="00774801" w:rsidRPr="00774801" w:rsidRDefault="00774801" w:rsidP="00774801">
      <w:pPr>
        <w:widowControl/>
        <w:spacing w:line="480" w:lineRule="auto"/>
        <w:ind w:firstLineChars="200" w:firstLine="422"/>
        <w:jc w:val="center"/>
        <w:rPr>
          <w:rFonts w:asciiTheme="minorEastAsia" w:hAnsiTheme="minorEastAsia" w:cs="宋体" w:hint="eastAsia"/>
          <w:kern w:val="0"/>
          <w:szCs w:val="21"/>
        </w:rPr>
      </w:pPr>
      <w:r w:rsidRPr="00774801">
        <w:rPr>
          <w:rFonts w:asciiTheme="minorEastAsia" w:hAnsiTheme="minorEastAsia" w:cs="宋体" w:hint="eastAsia"/>
          <w:b/>
          <w:bCs/>
          <w:color w:val="000000"/>
          <w:kern w:val="0"/>
          <w:szCs w:val="21"/>
        </w:rPr>
        <w:t>刘志军做“注重学习不成文规矩，弘扬我党优良作风”主题报告</w:t>
      </w:r>
    </w:p>
    <w:p w:rsidR="00774801" w:rsidRPr="00774801" w:rsidRDefault="00774801" w:rsidP="00774801">
      <w:pPr>
        <w:widowControl/>
        <w:spacing w:line="480" w:lineRule="auto"/>
        <w:ind w:firstLineChars="200" w:firstLine="420"/>
        <w:jc w:val="center"/>
        <w:rPr>
          <w:rFonts w:asciiTheme="minorEastAsia" w:hAnsiTheme="minorEastAsia" w:cs="宋体" w:hint="eastAsia"/>
          <w:kern w:val="0"/>
          <w:szCs w:val="21"/>
        </w:rPr>
      </w:pPr>
      <w:r w:rsidRPr="00774801">
        <w:rPr>
          <w:rFonts w:asciiTheme="minorEastAsia" w:hAnsiTheme="minorEastAsia" w:cs="宋体" w:hint="eastAsia"/>
          <w:kern w:val="0"/>
          <w:szCs w:val="21"/>
        </w:rPr>
        <w:t>   </w:t>
      </w:r>
    </w:p>
    <w:p w:rsidR="00164BD9" w:rsidRPr="00774801" w:rsidRDefault="00774801" w:rsidP="00774801">
      <w:pPr>
        <w:widowControl/>
        <w:spacing w:line="480" w:lineRule="auto"/>
        <w:ind w:firstLineChars="200" w:firstLine="420"/>
        <w:jc w:val="left"/>
        <w:rPr>
          <w:rFonts w:asciiTheme="minorEastAsia" w:hAnsiTheme="minorEastAsia" w:cs="宋体"/>
          <w:kern w:val="0"/>
          <w:szCs w:val="21"/>
        </w:rPr>
      </w:pPr>
      <w:r w:rsidRPr="00774801">
        <w:rPr>
          <w:rFonts w:asciiTheme="minorEastAsia" w:hAnsiTheme="minorEastAsia" w:cs="宋体" w:hint="eastAsia"/>
          <w:color w:val="000000"/>
          <w:kern w:val="0"/>
          <w:szCs w:val="21"/>
        </w:rPr>
        <w:t>为使党员干部知敬畏、存戒惧、守底线，学院党委还编印了有关材料，主要以省委、学校党委新出台的管理制度为主要内容，引领领导干部认清全面从严治党形势，引导领导干部认清学校及学院存在的问题和面临的挑战，保持坚强政治定力正风反腐，进一步引导党员、干部增强政治意识、大局意识、核心意识、看齐意识，努力做合格党员。</w:t>
      </w:r>
      <w:r w:rsidRPr="00774801">
        <w:rPr>
          <w:rFonts w:asciiTheme="minorEastAsia" w:hAnsiTheme="minorEastAsia" w:cs="宋体"/>
          <w:kern w:val="0"/>
          <w:szCs w:val="21"/>
        </w:rPr>
        <w:t xml:space="preserve"> </w:t>
      </w:r>
    </w:p>
    <w:sectPr w:rsidR="00164BD9" w:rsidRPr="007748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5FC"/>
    <w:multiLevelType w:val="multilevel"/>
    <w:tmpl w:val="0D221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F6"/>
    <w:rsid w:val="00164BD9"/>
    <w:rsid w:val="004308C7"/>
    <w:rsid w:val="00774801"/>
    <w:rsid w:val="009F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4801"/>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4801"/>
    <w:rPr>
      <w:rFonts w:ascii="宋体" w:eastAsia="宋体" w:hAnsi="宋体" w:cs="宋体"/>
      <w:b/>
      <w:bCs/>
      <w:kern w:val="36"/>
      <w:sz w:val="48"/>
      <w:szCs w:val="48"/>
    </w:rPr>
  </w:style>
  <w:style w:type="character" w:styleId="a3">
    <w:name w:val="Hyperlink"/>
    <w:basedOn w:val="a0"/>
    <w:uiPriority w:val="99"/>
    <w:semiHidden/>
    <w:unhideWhenUsed/>
    <w:rsid w:val="00774801"/>
    <w:rPr>
      <w:strike w:val="0"/>
      <w:dstrike w:val="0"/>
      <w:color w:val="0000FF"/>
      <w:u w:val="none"/>
      <w:effect w:val="none"/>
    </w:rPr>
  </w:style>
  <w:style w:type="character" w:customStyle="1" w:styleId="chinese1">
    <w:name w:val="chinese1"/>
    <w:basedOn w:val="a0"/>
    <w:rsid w:val="00774801"/>
    <w:rPr>
      <w:b/>
      <w:bCs/>
      <w:color w:val="B3ACAA"/>
    </w:rPr>
  </w:style>
  <w:style w:type="paragraph" w:styleId="z-">
    <w:name w:val="HTML Top of Form"/>
    <w:basedOn w:val="a"/>
    <w:next w:val="a"/>
    <w:link w:val="z-Char"/>
    <w:hidden/>
    <w:uiPriority w:val="99"/>
    <w:semiHidden/>
    <w:unhideWhenUsed/>
    <w:rsid w:val="0077480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7480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7480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74801"/>
    <w:rPr>
      <w:rFonts w:ascii="Arial" w:eastAsia="宋体" w:hAnsi="Arial" w:cs="Arial"/>
      <w:vanish/>
      <w:kern w:val="0"/>
      <w:sz w:val="16"/>
      <w:szCs w:val="16"/>
    </w:rPr>
  </w:style>
  <w:style w:type="character" w:styleId="a4">
    <w:name w:val="Strong"/>
    <w:basedOn w:val="a0"/>
    <w:uiPriority w:val="22"/>
    <w:qFormat/>
    <w:rsid w:val="00774801"/>
    <w:rPr>
      <w:b/>
      <w:bCs/>
    </w:rPr>
  </w:style>
  <w:style w:type="character" w:customStyle="1" w:styleId="yqlj1">
    <w:name w:val="yqlj1"/>
    <w:basedOn w:val="a0"/>
    <w:rsid w:val="00774801"/>
    <w:rPr>
      <w:b/>
      <w:bCs/>
      <w:color w:val="938986"/>
      <w:sz w:val="24"/>
      <w:szCs w:val="24"/>
    </w:rPr>
  </w:style>
  <w:style w:type="paragraph" w:styleId="a5">
    <w:name w:val="Balloon Text"/>
    <w:basedOn w:val="a"/>
    <w:link w:val="Char"/>
    <w:uiPriority w:val="99"/>
    <w:semiHidden/>
    <w:unhideWhenUsed/>
    <w:rsid w:val="00774801"/>
    <w:rPr>
      <w:sz w:val="18"/>
      <w:szCs w:val="18"/>
    </w:rPr>
  </w:style>
  <w:style w:type="character" w:customStyle="1" w:styleId="Char">
    <w:name w:val="批注框文本 Char"/>
    <w:basedOn w:val="a0"/>
    <w:link w:val="a5"/>
    <w:uiPriority w:val="99"/>
    <w:semiHidden/>
    <w:rsid w:val="007748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4801"/>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4801"/>
    <w:rPr>
      <w:rFonts w:ascii="宋体" w:eastAsia="宋体" w:hAnsi="宋体" w:cs="宋体"/>
      <w:b/>
      <w:bCs/>
      <w:kern w:val="36"/>
      <w:sz w:val="48"/>
      <w:szCs w:val="48"/>
    </w:rPr>
  </w:style>
  <w:style w:type="character" w:styleId="a3">
    <w:name w:val="Hyperlink"/>
    <w:basedOn w:val="a0"/>
    <w:uiPriority w:val="99"/>
    <w:semiHidden/>
    <w:unhideWhenUsed/>
    <w:rsid w:val="00774801"/>
    <w:rPr>
      <w:strike w:val="0"/>
      <w:dstrike w:val="0"/>
      <w:color w:val="0000FF"/>
      <w:u w:val="none"/>
      <w:effect w:val="none"/>
    </w:rPr>
  </w:style>
  <w:style w:type="character" w:customStyle="1" w:styleId="chinese1">
    <w:name w:val="chinese1"/>
    <w:basedOn w:val="a0"/>
    <w:rsid w:val="00774801"/>
    <w:rPr>
      <w:b/>
      <w:bCs/>
      <w:color w:val="B3ACAA"/>
    </w:rPr>
  </w:style>
  <w:style w:type="paragraph" w:styleId="z-">
    <w:name w:val="HTML Top of Form"/>
    <w:basedOn w:val="a"/>
    <w:next w:val="a"/>
    <w:link w:val="z-Char"/>
    <w:hidden/>
    <w:uiPriority w:val="99"/>
    <w:semiHidden/>
    <w:unhideWhenUsed/>
    <w:rsid w:val="0077480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7480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7480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74801"/>
    <w:rPr>
      <w:rFonts w:ascii="Arial" w:eastAsia="宋体" w:hAnsi="Arial" w:cs="Arial"/>
      <w:vanish/>
      <w:kern w:val="0"/>
      <w:sz w:val="16"/>
      <w:szCs w:val="16"/>
    </w:rPr>
  </w:style>
  <w:style w:type="character" w:styleId="a4">
    <w:name w:val="Strong"/>
    <w:basedOn w:val="a0"/>
    <w:uiPriority w:val="22"/>
    <w:qFormat/>
    <w:rsid w:val="00774801"/>
    <w:rPr>
      <w:b/>
      <w:bCs/>
    </w:rPr>
  </w:style>
  <w:style w:type="character" w:customStyle="1" w:styleId="yqlj1">
    <w:name w:val="yqlj1"/>
    <w:basedOn w:val="a0"/>
    <w:rsid w:val="00774801"/>
    <w:rPr>
      <w:b/>
      <w:bCs/>
      <w:color w:val="938986"/>
      <w:sz w:val="24"/>
      <w:szCs w:val="24"/>
    </w:rPr>
  </w:style>
  <w:style w:type="paragraph" w:styleId="a5">
    <w:name w:val="Balloon Text"/>
    <w:basedOn w:val="a"/>
    <w:link w:val="Char"/>
    <w:uiPriority w:val="99"/>
    <w:semiHidden/>
    <w:unhideWhenUsed/>
    <w:rsid w:val="00774801"/>
    <w:rPr>
      <w:sz w:val="18"/>
      <w:szCs w:val="18"/>
    </w:rPr>
  </w:style>
  <w:style w:type="character" w:customStyle="1" w:styleId="Char">
    <w:name w:val="批注框文本 Char"/>
    <w:basedOn w:val="a0"/>
    <w:link w:val="a5"/>
    <w:uiPriority w:val="99"/>
    <w:semiHidden/>
    <w:rsid w:val="007748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7416">
      <w:bodyDiv w:val="1"/>
      <w:marLeft w:val="0"/>
      <w:marRight w:val="0"/>
      <w:marTop w:val="0"/>
      <w:marBottom w:val="0"/>
      <w:divBdr>
        <w:top w:val="none" w:sz="0" w:space="0" w:color="auto"/>
        <w:left w:val="none" w:sz="0" w:space="0" w:color="auto"/>
        <w:bottom w:val="none" w:sz="0" w:space="0" w:color="auto"/>
        <w:right w:val="none" w:sz="0" w:space="0" w:color="auto"/>
      </w:divBdr>
      <w:divsChild>
        <w:div w:id="1136140029">
          <w:marLeft w:val="0"/>
          <w:marRight w:val="0"/>
          <w:marTop w:val="0"/>
          <w:marBottom w:val="0"/>
          <w:divBdr>
            <w:top w:val="none" w:sz="0" w:space="0" w:color="auto"/>
            <w:left w:val="none" w:sz="0" w:space="0" w:color="auto"/>
            <w:bottom w:val="none" w:sz="0" w:space="0" w:color="auto"/>
            <w:right w:val="none" w:sz="0" w:space="0" w:color="auto"/>
          </w:divBdr>
          <w:divsChild>
            <w:div w:id="591403564">
              <w:marLeft w:val="0"/>
              <w:marRight w:val="0"/>
              <w:marTop w:val="0"/>
              <w:marBottom w:val="0"/>
              <w:divBdr>
                <w:top w:val="none" w:sz="0" w:space="0" w:color="auto"/>
                <w:left w:val="none" w:sz="0" w:space="0" w:color="auto"/>
                <w:bottom w:val="none" w:sz="0" w:space="0" w:color="auto"/>
                <w:right w:val="none" w:sz="0" w:space="0" w:color="auto"/>
              </w:divBdr>
              <w:divsChild>
                <w:div w:id="1526673107">
                  <w:marLeft w:val="0"/>
                  <w:marRight w:val="0"/>
                  <w:marTop w:val="0"/>
                  <w:marBottom w:val="0"/>
                  <w:divBdr>
                    <w:top w:val="none" w:sz="0" w:space="0" w:color="auto"/>
                    <w:left w:val="none" w:sz="0" w:space="0" w:color="auto"/>
                    <w:bottom w:val="none" w:sz="0" w:space="0" w:color="auto"/>
                    <w:right w:val="none" w:sz="0" w:space="0" w:color="auto"/>
                  </w:divBdr>
                  <w:divsChild>
                    <w:div w:id="149450018">
                      <w:marLeft w:val="0"/>
                      <w:marRight w:val="0"/>
                      <w:marTop w:val="0"/>
                      <w:marBottom w:val="0"/>
                      <w:divBdr>
                        <w:top w:val="none" w:sz="0" w:space="0" w:color="auto"/>
                        <w:left w:val="none" w:sz="0" w:space="0" w:color="auto"/>
                        <w:bottom w:val="none" w:sz="0" w:space="0" w:color="auto"/>
                        <w:right w:val="none" w:sz="0" w:space="0" w:color="auto"/>
                      </w:divBdr>
                    </w:div>
                  </w:divsChild>
                </w:div>
                <w:div w:id="1439984254">
                  <w:marLeft w:val="0"/>
                  <w:marRight w:val="0"/>
                  <w:marTop w:val="0"/>
                  <w:marBottom w:val="0"/>
                  <w:divBdr>
                    <w:top w:val="none" w:sz="0" w:space="0" w:color="auto"/>
                    <w:left w:val="none" w:sz="0" w:space="0" w:color="auto"/>
                    <w:bottom w:val="none" w:sz="0" w:space="0" w:color="auto"/>
                    <w:right w:val="none" w:sz="0" w:space="0" w:color="auto"/>
                  </w:divBdr>
                </w:div>
                <w:div w:id="250042110">
                  <w:marLeft w:val="0"/>
                  <w:marRight w:val="0"/>
                  <w:marTop w:val="0"/>
                  <w:marBottom w:val="0"/>
                  <w:divBdr>
                    <w:top w:val="none" w:sz="0" w:space="0" w:color="auto"/>
                    <w:left w:val="none" w:sz="0" w:space="0" w:color="auto"/>
                    <w:bottom w:val="none" w:sz="0" w:space="0" w:color="auto"/>
                    <w:right w:val="none" w:sz="0" w:space="0" w:color="auto"/>
                  </w:divBdr>
                </w:div>
                <w:div w:id="1017194329">
                  <w:marLeft w:val="0"/>
                  <w:marRight w:val="0"/>
                  <w:marTop w:val="0"/>
                  <w:marBottom w:val="75"/>
                  <w:divBdr>
                    <w:top w:val="none" w:sz="0" w:space="0" w:color="auto"/>
                    <w:left w:val="none" w:sz="0" w:space="0" w:color="auto"/>
                    <w:bottom w:val="none" w:sz="0" w:space="0" w:color="auto"/>
                    <w:right w:val="none" w:sz="0" w:space="0" w:color="auto"/>
                  </w:divBdr>
                  <w:divsChild>
                    <w:div w:id="1332637885">
                      <w:marLeft w:val="0"/>
                      <w:marRight w:val="0"/>
                      <w:marTop w:val="0"/>
                      <w:marBottom w:val="0"/>
                      <w:divBdr>
                        <w:top w:val="none" w:sz="0" w:space="0" w:color="auto"/>
                        <w:left w:val="none" w:sz="0" w:space="0" w:color="auto"/>
                        <w:bottom w:val="none" w:sz="0" w:space="0" w:color="auto"/>
                        <w:right w:val="none" w:sz="0" w:space="0" w:color="auto"/>
                      </w:divBdr>
                      <w:divsChild>
                        <w:div w:id="972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1440">
              <w:marLeft w:val="0"/>
              <w:marRight w:val="0"/>
              <w:marTop w:val="0"/>
              <w:marBottom w:val="0"/>
              <w:divBdr>
                <w:top w:val="none" w:sz="0" w:space="0" w:color="auto"/>
                <w:left w:val="none" w:sz="0" w:space="0" w:color="auto"/>
                <w:bottom w:val="none" w:sz="0" w:space="0" w:color="auto"/>
                <w:right w:val="none" w:sz="0" w:space="0" w:color="auto"/>
              </w:divBdr>
            </w:div>
            <w:div w:id="820267100">
              <w:marLeft w:val="0"/>
              <w:marRight w:val="0"/>
              <w:marTop w:val="225"/>
              <w:marBottom w:val="225"/>
              <w:divBdr>
                <w:top w:val="none" w:sz="0" w:space="0" w:color="auto"/>
                <w:left w:val="none" w:sz="0" w:space="0" w:color="auto"/>
                <w:bottom w:val="none" w:sz="0" w:space="0" w:color="auto"/>
                <w:right w:val="none" w:sz="0" w:space="0" w:color="auto"/>
              </w:divBdr>
              <w:divsChild>
                <w:div w:id="173497075">
                  <w:marLeft w:val="0"/>
                  <w:marRight w:val="0"/>
                  <w:marTop w:val="0"/>
                  <w:marBottom w:val="0"/>
                  <w:divBdr>
                    <w:top w:val="single" w:sz="6" w:space="11" w:color="CCCCCC"/>
                    <w:left w:val="single" w:sz="6" w:space="11" w:color="CCCCCC"/>
                    <w:bottom w:val="single" w:sz="6" w:space="11" w:color="CCCCCC"/>
                    <w:right w:val="single" w:sz="6" w:space="11" w:color="CCCCCC"/>
                  </w:divBdr>
                  <w:divsChild>
                    <w:div w:id="2085834074">
                      <w:marLeft w:val="0"/>
                      <w:marRight w:val="0"/>
                      <w:marTop w:val="0"/>
                      <w:marBottom w:val="0"/>
                      <w:divBdr>
                        <w:top w:val="none" w:sz="0" w:space="0" w:color="auto"/>
                        <w:left w:val="none" w:sz="0" w:space="0" w:color="auto"/>
                        <w:bottom w:val="none" w:sz="0" w:space="0" w:color="auto"/>
                        <w:right w:val="none" w:sz="0" w:space="0" w:color="auto"/>
                      </w:divBdr>
                      <w:divsChild>
                        <w:div w:id="6950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934">
              <w:marLeft w:val="0"/>
              <w:marRight w:val="0"/>
              <w:marTop w:val="0"/>
              <w:marBottom w:val="0"/>
              <w:divBdr>
                <w:top w:val="single" w:sz="36" w:space="0" w:color="1F88CA"/>
                <w:left w:val="none" w:sz="0" w:space="0" w:color="auto"/>
                <w:bottom w:val="none" w:sz="0" w:space="0" w:color="auto"/>
                <w:right w:val="none" w:sz="0" w:space="0" w:color="auto"/>
              </w:divBdr>
              <w:divsChild>
                <w:div w:id="512768856">
                  <w:marLeft w:val="0"/>
                  <w:marRight w:val="0"/>
                  <w:marTop w:val="0"/>
                  <w:marBottom w:val="0"/>
                  <w:divBdr>
                    <w:top w:val="none" w:sz="0" w:space="0" w:color="auto"/>
                    <w:left w:val="none" w:sz="0" w:space="0" w:color="auto"/>
                    <w:bottom w:val="none" w:sz="0" w:space="0" w:color="auto"/>
                    <w:right w:val="none" w:sz="0" w:space="0" w:color="auto"/>
                  </w:divBdr>
                </w:div>
                <w:div w:id="857426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华硕电脑</dc:creator>
  <cp:keywords/>
  <dc:description/>
  <cp:lastModifiedBy>华硕电脑</cp:lastModifiedBy>
  <cp:revision>3</cp:revision>
  <dcterms:created xsi:type="dcterms:W3CDTF">2017-10-20T14:49:00Z</dcterms:created>
  <dcterms:modified xsi:type="dcterms:W3CDTF">2017-10-20T14:56:00Z</dcterms:modified>
</cp:coreProperties>
</file>